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left"/>
        <w:spacing w:before="10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7"/>
        <w:jc w:val="left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600" w:right="992" w:bottom="280" w:left="170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657"/>
        <w:jc w:val="center"/>
        <w:spacing w:before="229"/>
        <w:rPr>
          <w:b/>
          <w:bCs/>
        </w:rPr>
      </w:pPr>
      <w:r>
        <w:rPr>
          <w:b/>
          <w:bCs/>
        </w:rPr>
        <w:t xml:space="preserve">Информация о работе </w:t>
      </w:r>
      <w:r>
        <w:rPr>
          <w:b/>
          <w:bCs/>
        </w:rPr>
        <w:t xml:space="preserve">межведомственной комиссии Республики Адыгея по противодействию нелегальной занятости в 2024 году</w:t>
      </w:r>
      <w:r>
        <w:rPr>
          <w:b/>
          <w:bCs/>
        </w:rPr>
      </w:r>
      <w:r>
        <w:rPr>
          <w:b/>
          <w:bCs/>
        </w:rPr>
      </w:r>
    </w:p>
    <w:p>
      <w:pPr>
        <w:pStyle w:val="657"/>
        <w:ind w:right="139" w:firstLine="709"/>
        <w:spacing w:before="322"/>
      </w:pPr>
      <w:r>
        <w:t xml:space="preserve">С 2014 года в Республике Адыгея проводится работа по противодействию нелегальной занятости, создана и функционирует межведомственная комиссия Республики </w:t>
      </w:r>
      <w:r>
        <w:t xml:space="preserve">Адыгея по противодействию нелегальной занятости (создана в 2015 году распоряжением Кабинета Министров Республики Адыгея от 06.03.2015 № 43-р, с 19.07.2024 действует в соответствии с распоряжением Кабинета Министров Республики Адыгея от 19.07.2024 № 220-р).</w:t>
      </w:r>
      <w:r/>
    </w:p>
    <w:p>
      <w:pPr>
        <w:pStyle w:val="657"/>
        <w:ind w:right="139" w:firstLine="709"/>
      </w:pPr>
      <w:r>
        <w:t xml:space="preserve">В 2024 году проведены 3 заседания межведомственной комиссии, на которых рассмотрены резул</w:t>
      </w:r>
      <w:r>
        <w:t xml:space="preserve">ьтаты проделанной работы по снижению нелегальной занятости, организации работы по взаимодействию с работодателями, вопросы проведения информационной работы, принимались соответствующие решения. Решения межведомственной комиссии оформлены в виде протоколов.</w:t>
      </w:r>
      <w:r/>
    </w:p>
    <w:p>
      <w:pPr>
        <w:pStyle w:val="657"/>
        <w:ind w:right="139" w:firstLine="709"/>
      </w:pPr>
      <w:r>
        <w:t xml:space="preserve">В 2024 году</w:t>
      </w:r>
      <w:r>
        <w:t xml:space="preserve"> целевой показатель по Республике Адыгея составлял 3759 человек (по состоянию на 31.12.2024 исполнен на 107,3 %). Всего за 2024 год оформили трудовые отношения 4035 человек, в том числе 2246 человек вновь зарегистрированных индивидуальных предпринимателей.</w:t>
      </w:r>
      <w:r/>
    </w:p>
    <w:p>
      <w:pPr>
        <w:pStyle w:val="657"/>
        <w:ind w:right="139" w:firstLine="709"/>
      </w:pPr>
      <w:r>
        <w:t xml:space="preserve">В Республике Адыгея проводится информационно-</w:t>
      </w:r>
      <w:r>
        <w:t xml:space="preserve">разъяснительная работа по вопро</w:t>
      </w:r>
      <w:r>
        <w:t xml:space="preserve">сам снижения уровня теневой занятости и легализации трудовых отношений, реализуется план информационной кампании (медиа-план) по повышению информированности работодателей и работников о негативных для них последствиях теневой занятости в Республике Адыгея.</w:t>
      </w:r>
      <w:r/>
    </w:p>
    <w:p>
      <w:pPr>
        <w:pStyle w:val="657"/>
        <w:ind w:right="142" w:firstLine="709"/>
      </w:pPr>
      <w:r>
        <w:t xml:space="preserve">Информационно-разъяснительная работа о принятых на</w:t>
      </w:r>
      <w:r>
        <w:rPr>
          <w:spacing w:val="40"/>
        </w:rPr>
        <w:t xml:space="preserve"> </w:t>
      </w:r>
      <w:r>
        <w:t xml:space="preserve">федеральном и региональном уровнях мерах поддержки рынка труда и возможности</w:t>
      </w:r>
      <w:r>
        <w:rPr>
          <w:spacing w:val="77"/>
        </w:rPr>
        <w:t xml:space="preserve"> </w:t>
      </w:r>
      <w:r>
        <w:t xml:space="preserve">их</w:t>
      </w:r>
      <w:r>
        <w:rPr>
          <w:spacing w:val="77"/>
        </w:rPr>
        <w:t xml:space="preserve"> </w:t>
      </w:r>
      <w:r>
        <w:t xml:space="preserve">использования</w:t>
      </w:r>
      <w:r>
        <w:rPr>
          <w:spacing w:val="77"/>
        </w:rPr>
        <w:t xml:space="preserve"> </w:t>
      </w:r>
      <w:r>
        <w:t xml:space="preserve">для</w:t>
      </w:r>
      <w:r>
        <w:rPr>
          <w:spacing w:val="77"/>
        </w:rPr>
        <w:t xml:space="preserve"> </w:t>
      </w:r>
      <w:r>
        <w:t xml:space="preserve">обеспечения</w:t>
      </w:r>
      <w:r>
        <w:rPr>
          <w:spacing w:val="77"/>
        </w:rPr>
        <w:t xml:space="preserve"> </w:t>
      </w:r>
      <w:r>
        <w:t xml:space="preserve">занятости</w:t>
      </w:r>
      <w:r>
        <w:rPr>
          <w:spacing w:val="77"/>
        </w:rPr>
        <w:t xml:space="preserve"> </w:t>
      </w:r>
      <w:r>
        <w:rPr>
          <w:spacing w:val="-2"/>
        </w:rPr>
        <w:t xml:space="preserve">населения </w:t>
      </w:r>
      <w:r/>
      <w:r/>
      <w:r/>
      <w:r/>
      <w:r>
        <w:t xml:space="preserve">осуществляется на регу</w:t>
      </w:r>
      <w:r>
        <w:t xml:space="preserve">лярной основе посредством размещения информации на официальных сайтах, в социальных сетях: телеграмм канале, в одноклассниках, в Контакте, а также посредством прямых эфиров, в которых принимают участие руководители министерств и ведомств Республики Адыгея.</w:t>
      </w:r>
      <w:r/>
      <w:r/>
    </w:p>
    <w:p>
      <w:pPr>
        <w:pStyle w:val="657"/>
        <w:ind w:right="141" w:firstLine="709"/>
      </w:pPr>
      <w:r>
        <w:t xml:space="preserve">В 2024 году в целях информирован</w:t>
      </w:r>
      <w:r>
        <w:t xml:space="preserve">ия населения о негативных последствиях неформальной занятости муниципальными образованиями размещены 96 материалов на официальных сайтах. Опубликованы 66 материалов в социальных сетях, в том числе: размещены 63 информационных поста; выпущены 3 видеоролика.</w:t>
      </w:r>
      <w:r/>
    </w:p>
    <w:p>
      <w:pPr>
        <w:pStyle w:val="657"/>
        <w:ind w:right="139" w:firstLine="709"/>
      </w:pPr>
      <w:r>
        <w:t xml:space="preserve">Проведены 112 мероприятий в рамках «Участие в публичных мероприятиях</w:t>
      </w:r>
      <w:r>
        <w:rPr>
          <w:spacing w:val="38"/>
        </w:rPr>
        <w:t xml:space="preserve">  </w:t>
      </w:r>
      <w:r>
        <w:t xml:space="preserve">и</w:t>
      </w:r>
      <w:r>
        <w:rPr>
          <w:spacing w:val="40"/>
        </w:rPr>
        <w:t xml:space="preserve">  </w:t>
      </w:r>
      <w:r>
        <w:t xml:space="preserve">проведение</w:t>
      </w:r>
      <w:r>
        <w:rPr>
          <w:spacing w:val="40"/>
        </w:rPr>
        <w:t xml:space="preserve">  </w:t>
      </w:r>
      <w:r>
        <w:t xml:space="preserve">совещаний»,</w:t>
      </w:r>
      <w:r>
        <w:rPr>
          <w:spacing w:val="40"/>
        </w:rPr>
        <w:t xml:space="preserve">  </w:t>
      </w:r>
      <w:r>
        <w:t xml:space="preserve">в</w:t>
      </w:r>
      <w:r>
        <w:rPr>
          <w:spacing w:val="40"/>
        </w:rPr>
        <w:t xml:space="preserve">  </w:t>
      </w:r>
      <w:r>
        <w:t xml:space="preserve">том</w:t>
      </w:r>
      <w:r>
        <w:rPr>
          <w:spacing w:val="40"/>
        </w:rPr>
        <w:t xml:space="preserve">  </w:t>
      </w:r>
      <w:r>
        <w:t xml:space="preserve">числе</w:t>
      </w:r>
      <w:r>
        <w:rPr>
          <w:spacing w:val="40"/>
        </w:rPr>
        <w:t xml:space="preserve">  </w:t>
      </w:r>
      <w:r>
        <w:t xml:space="preserve">2</w:t>
      </w:r>
      <w:r>
        <w:rPr>
          <w:spacing w:val="40"/>
        </w:rPr>
        <w:t xml:space="preserve">  </w:t>
      </w:r>
      <w:r>
        <w:rPr>
          <w:spacing w:val="-2"/>
        </w:rPr>
        <w:t xml:space="preserve">заседания</w:t>
      </w:r>
      <w:r/>
    </w:p>
    <w:p>
      <w:pPr>
        <w:pStyle w:val="657"/>
      </w:pPr>
      <w:r>
        <w:t xml:space="preserve">«круглого стола»,</w:t>
      </w:r>
      <w:r>
        <w:rPr>
          <w:spacing w:val="2"/>
        </w:rPr>
        <w:t xml:space="preserve"> </w:t>
      </w:r>
      <w:r>
        <w:t xml:space="preserve">17</w:t>
      </w:r>
      <w:r>
        <w:rPr>
          <w:spacing w:val="2"/>
        </w:rPr>
        <w:t xml:space="preserve"> </w:t>
      </w:r>
      <w:r>
        <w:t xml:space="preserve">совещаний,</w:t>
      </w:r>
      <w:r>
        <w:rPr>
          <w:spacing w:val="2"/>
        </w:rPr>
        <w:t xml:space="preserve"> </w:t>
      </w:r>
      <w:r>
        <w:t xml:space="preserve">заседаний;</w:t>
      </w:r>
      <w:r>
        <w:rPr>
          <w:spacing w:val="2"/>
        </w:rPr>
        <w:t xml:space="preserve"> </w:t>
      </w:r>
      <w:r>
        <w:t xml:space="preserve">2</w:t>
      </w:r>
      <w:r>
        <w:rPr>
          <w:spacing w:val="2"/>
        </w:rPr>
        <w:t xml:space="preserve"> </w:t>
      </w:r>
      <w:r>
        <w:t xml:space="preserve">семинара</w:t>
      </w:r>
      <w:r>
        <w:rPr>
          <w:spacing w:val="2"/>
        </w:rPr>
        <w:t xml:space="preserve"> </w:t>
      </w:r>
      <w:r>
        <w:t xml:space="preserve">для</w:t>
      </w:r>
      <w:r>
        <w:rPr>
          <w:spacing w:val="3"/>
        </w:rPr>
        <w:t xml:space="preserve"> </w:t>
      </w:r>
      <w:r>
        <w:rPr>
          <w:spacing w:val="-2"/>
        </w:rPr>
        <w:t xml:space="preserve">работодателей;</w:t>
      </w:r>
      <w:r/>
    </w:p>
    <w:p>
      <w:pPr>
        <w:pStyle w:val="657"/>
      </w:pPr>
      <w:r>
        <w:t xml:space="preserve">91</w:t>
      </w:r>
      <w:r>
        <w:rPr>
          <w:spacing w:val="-1"/>
        </w:rPr>
        <w:t xml:space="preserve"> </w:t>
      </w:r>
      <w:r>
        <w:t xml:space="preserve">иное</w:t>
      </w:r>
      <w:r>
        <w:rPr>
          <w:spacing w:val="-2"/>
        </w:rPr>
        <w:t xml:space="preserve"> </w:t>
      </w:r>
      <w:r>
        <w:t xml:space="preserve">мероприятие</w:t>
      </w:r>
      <w:r>
        <w:rPr>
          <w:spacing w:val="-1"/>
        </w:rPr>
        <w:t xml:space="preserve"> </w:t>
      </w:r>
      <w:r>
        <w:t xml:space="preserve">(заседаний</w:t>
      </w:r>
      <w:r>
        <w:rPr>
          <w:spacing w:val="-2"/>
        </w:rPr>
        <w:t xml:space="preserve"> </w:t>
      </w:r>
      <w:r>
        <w:t xml:space="preserve">рабочих</w:t>
      </w:r>
      <w:r>
        <w:rPr>
          <w:spacing w:val="-1"/>
        </w:rPr>
        <w:t xml:space="preserve"> </w:t>
      </w:r>
      <w:r>
        <w:t xml:space="preserve">групп</w:t>
      </w:r>
      <w:r>
        <w:rPr>
          <w:spacing w:val="-1"/>
        </w:rPr>
        <w:t xml:space="preserve"> </w:t>
      </w:r>
      <w:r>
        <w:t xml:space="preserve">и</w:t>
      </w:r>
      <w:r>
        <w:rPr>
          <w:spacing w:val="-2"/>
        </w:rPr>
        <w:t xml:space="preserve"> др.).</w:t>
      </w:r>
      <w:r/>
    </w:p>
    <w:p>
      <w:pPr>
        <w:pStyle w:val="657"/>
        <w:ind w:right="139" w:firstLine="709"/>
      </w:pPr>
      <w:r>
        <w:t xml:space="preserve">Проведены 1842 консультации граждан и работодателей, в том</w:t>
      </w:r>
      <w:r>
        <w:rPr>
          <w:spacing w:val="40"/>
        </w:rPr>
        <w:t xml:space="preserve"> </w:t>
      </w:r>
      <w:r>
        <w:t xml:space="preserve">числе: 318 телефонных консультаций с гражданами и работодателями о мерах административной ответственности работодателей за</w:t>
      </w:r>
      <w:r>
        <w:rPr>
          <w:spacing w:val="40"/>
        </w:rPr>
        <w:t xml:space="preserve"> </w:t>
      </w:r>
      <w:r>
        <w:t xml:space="preserve">нарушение норм трудового законодательства, в том числе в части не </w:t>
      </w:r>
      <w:r>
        <w:t xml:space="preserve">оформления (либо</w:t>
      </w:r>
      <w:r>
        <w:rPr>
          <w:spacing w:val="-2"/>
        </w:rPr>
        <w:t xml:space="preserve"> </w:t>
      </w:r>
      <w:r>
        <w:t xml:space="preserve">не</w:t>
      </w:r>
      <w:r>
        <w:rPr>
          <w:spacing w:val="-2"/>
        </w:rPr>
        <w:t xml:space="preserve"> </w:t>
      </w:r>
      <w:r>
        <w:t xml:space="preserve">надлежащего</w:t>
      </w:r>
      <w:r>
        <w:rPr>
          <w:spacing w:val="-1"/>
        </w:rPr>
        <w:t xml:space="preserve"> </w:t>
      </w:r>
      <w:r>
        <w:t xml:space="preserve">оформления)</w:t>
      </w:r>
      <w:r>
        <w:rPr>
          <w:spacing w:val="-2"/>
        </w:rPr>
        <w:t xml:space="preserve"> </w:t>
      </w:r>
      <w:r>
        <w:t xml:space="preserve">трудовых</w:t>
      </w:r>
      <w:r>
        <w:rPr>
          <w:spacing w:val="-2"/>
        </w:rPr>
        <w:t xml:space="preserve"> </w:t>
      </w:r>
      <w:r>
        <w:t xml:space="preserve">отношений</w:t>
      </w:r>
      <w:r>
        <w:rPr>
          <w:spacing w:val="-2"/>
        </w:rPr>
        <w:t xml:space="preserve"> </w:t>
      </w:r>
      <w:r>
        <w:t xml:space="preserve">с</w:t>
      </w:r>
      <w:r>
        <w:rPr>
          <w:spacing w:val="-1"/>
        </w:rPr>
        <w:t xml:space="preserve"> </w:t>
      </w:r>
      <w:r>
        <w:t xml:space="preserve">работником;</w:t>
      </w:r>
      <w:r>
        <w:rPr>
          <w:spacing w:val="-2"/>
        </w:rPr>
        <w:t xml:space="preserve"> </w:t>
      </w:r>
      <w:r>
        <w:t xml:space="preserve">25 адресных информирований в письменной форме; 1484 в рамках мероприятий (выставка, ярмарка вакансий и др.); 15 личных приемов </w:t>
      </w:r>
      <w:r>
        <w:rPr>
          <w:spacing w:val="-2"/>
        </w:rPr>
        <w:t xml:space="preserve">граждан.</w:t>
      </w:r>
      <w:r/>
    </w:p>
    <w:p>
      <w:pPr>
        <w:pStyle w:val="657"/>
        <w:ind w:right="140" w:firstLine="709"/>
      </w:pPr>
      <w:r>
        <w:t xml:space="preserve">Информация об исполнении мероприятий по снижению теневой занятости</w:t>
      </w:r>
      <w:r>
        <w:rPr>
          <w:spacing w:val="30"/>
        </w:rPr>
        <w:t xml:space="preserve"> </w:t>
      </w:r>
      <w:r>
        <w:t xml:space="preserve">и</w:t>
      </w:r>
      <w:r>
        <w:rPr>
          <w:spacing w:val="30"/>
        </w:rPr>
        <w:t xml:space="preserve"> </w:t>
      </w:r>
      <w:r>
        <w:t xml:space="preserve">легализации</w:t>
      </w:r>
      <w:r>
        <w:rPr>
          <w:spacing w:val="30"/>
        </w:rPr>
        <w:t xml:space="preserve"> </w:t>
      </w:r>
      <w:r>
        <w:t xml:space="preserve">трудовых</w:t>
      </w:r>
      <w:r>
        <w:rPr>
          <w:spacing w:val="30"/>
        </w:rPr>
        <w:t xml:space="preserve"> </w:t>
      </w:r>
      <w:r>
        <w:t xml:space="preserve">отношений</w:t>
      </w:r>
      <w:r>
        <w:rPr>
          <w:spacing w:val="30"/>
        </w:rPr>
        <w:t xml:space="preserve"> </w:t>
      </w:r>
      <w:r>
        <w:t xml:space="preserve">по</w:t>
      </w:r>
      <w:r>
        <w:rPr>
          <w:spacing w:val="30"/>
        </w:rPr>
        <w:t xml:space="preserve"> </w:t>
      </w:r>
      <w:r>
        <w:t xml:space="preserve">форме</w:t>
      </w:r>
      <w:r>
        <w:rPr>
          <w:spacing w:val="30"/>
        </w:rPr>
        <w:t xml:space="preserve"> </w:t>
      </w:r>
      <w:r>
        <w:t xml:space="preserve">отчетности</w:t>
      </w:r>
      <w:r>
        <w:rPr>
          <w:spacing w:val="30"/>
        </w:rPr>
        <w:t xml:space="preserve"> </w:t>
      </w:r>
      <w:r>
        <w:t xml:space="preserve">МТЗ</w:t>
      </w:r>
      <w:r/>
    </w:p>
    <w:p>
      <w:pPr>
        <w:pStyle w:val="657"/>
        <w:ind w:right="140"/>
      </w:pPr>
      <w:r>
        <w:t xml:space="preserve">«Форма мониторинга снижения уровня теневой занятости и легализации трудовых отношений» и об исполнении мероприятий медиа-плана </w:t>
      </w:r>
      <w:r>
        <w:t xml:space="preserve">по форме отчетности ПРР «Форма отчетности субъектов Российской Федерации о проведении информационно-разъяснительной работы» ежеквартально направляется в адрес Федеральной службы по труду и занятости в информационной системе консолидации отчетности (СКО.2).</w:t>
      </w:r>
      <w:r/>
    </w:p>
    <w:p>
      <w:pPr>
        <w:pStyle w:val="657"/>
        <w:ind w:right="140" w:firstLine="709"/>
      </w:pPr>
      <w:r>
        <w:t xml:space="preserve">Работа по снижению уровня теневой занятости и легализации трудовых отношений продолжается. Работа межведомственной комиссии будет продолжена в 2025 году.</w:t>
      </w:r>
      <w:r/>
    </w:p>
    <w:p>
      <w:pPr>
        <w:pStyle w:val="657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7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7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continuous"/>
      <w:pgSz w:w="11910" w:h="16840" w:orient="portrait"/>
      <w:pgMar w:top="600" w:right="992" w:bottom="280" w:left="1700" w:header="71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jc w:val="left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9232" behindDoc="1" locked="0" layoutInCell="1" allowOverlap="1">
              <wp:simplePos x="0" y="0"/>
              <wp:positionH relativeFrom="page">
                <wp:posOffset>4109084</wp:posOffset>
              </wp:positionH>
              <wp:positionV relativeFrom="page">
                <wp:posOffset>443987</wp:posOffset>
              </wp:positionV>
              <wp:extent cx="165100" cy="194310"/>
              <wp:effectExtent l="0" t="0" r="0" b="0"/>
              <wp:wrapNone/>
              <wp:docPr id="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519232;o:allowoverlap:true;o:allowincell:true;mso-position-horizontal-relative:page;margin-left:323.55pt;mso-position-horizontal:absolute;mso-position-vertical-relative:page;margin-top:34.96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21" w:hanging="19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842" w:hanging="19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764" w:hanging="19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685" w:hanging="19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607" w:hanging="19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528" w:hanging="19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449" w:hanging="19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371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6"/>
    <w:next w:val="65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3"/>
    <w:link w:val="658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3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3"/>
    <w:link w:val="42"/>
    <w:uiPriority w:val="99"/>
  </w:style>
  <w:style w:type="paragraph" w:styleId="44">
    <w:name w:val="Footer"/>
    <w:basedOn w:val="65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3"/>
    <w:link w:val="44"/>
    <w:uiPriority w:val="99"/>
  </w:style>
  <w:style w:type="paragraph" w:styleId="46">
    <w:name w:val="Caption"/>
    <w:basedOn w:val="656"/>
    <w:next w:val="65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3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3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57">
    <w:name w:val="Body Text"/>
    <w:basedOn w:val="656"/>
    <w:uiPriority w:val="1"/>
    <w:qFormat/>
    <w:pPr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58">
    <w:name w:val="Title"/>
    <w:basedOn w:val="656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659">
    <w:name w:val="List Paragraph"/>
    <w:basedOn w:val="656"/>
    <w:uiPriority w:val="1"/>
    <w:qFormat/>
    <w:pPr>
      <w:ind w:right="139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60">
    <w:name w:val="Table Paragraph"/>
    <w:basedOn w:val="656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Danilchenko</cp:lastModifiedBy>
  <cp:revision>1</cp:revision>
  <dcterms:created xsi:type="dcterms:W3CDTF">2026-03-18T07:38:57Z</dcterms:created>
  <dcterms:modified xsi:type="dcterms:W3CDTF">2026-03-18T07:42:02Z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2026-03-18T00:00:00Z</vt:filetime>
  </property>
  <property fmtid="{D5CDD505-2E9C-101B-9397-08002B2CF9AE}" pid="5" name="Producer">
    <vt:lpwstr>3-Heights(TM) PDF Security Shell 4.8.25.2 (http://www.pdf-tools.com)</vt:lpwstr>
  </property>
</Properties>
</file>