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077"/>
        <w:gridCol w:w="1985"/>
        <w:gridCol w:w="3862"/>
      </w:tblGrid>
      <w:tr>
        <w:tblPrEx/>
        <w:trPr/>
        <w:tc>
          <w:tcPr>
            <w:tcW w:w="4077" w:type="dxa"/>
            <w:textDirection w:val="lrTb"/>
            <w:noWrap w:val="false"/>
          </w:tcPr>
          <w:p>
            <w:pPr>
              <w:pStyle w:val="9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2707640</wp:posOffset>
                      </wp:positionH>
                      <wp:positionV relativeFrom="page">
                        <wp:posOffset>528320</wp:posOffset>
                      </wp:positionV>
                      <wp:extent cx="842645" cy="842645"/>
                      <wp:effectExtent l="19050" t="0" r="0" b="0"/>
                      <wp:wrapNone/>
                      <wp:docPr id="1" name="Рисунок 1" descr="Описание: GER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Описание: GERB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2644" cy="842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7728;o:allowoverlap:true;o:allowincell:false;mso-position-horizontal-relative:text;margin-left:213.20pt;mso-position-horizontal:absolute;mso-position-vertical-relative:page;margin-top:41.60pt;mso-position-vertical:absolute;width:66.35pt;height:66.35pt;mso-wrap-distance-left:9.00pt;mso-wrap-distance-top:0.00pt;mso-wrap-distance-right:9.00pt;mso-wrap-distance-bottom:0.00pt;" stroked="f" strokeweight="0.75pt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УПРАВЛЕНИЕ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ГОСУДАРСТВЕННОЙ СЛУЖБЫ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ЗАНЯТОСТИ НАСЕЛЕНИЯ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РЕСПУБЛИКИ АДЫГЕЯ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997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997"/>
            </w:pPr>
            <w:r/>
            <w:r/>
          </w:p>
        </w:tc>
        <w:tc>
          <w:tcPr>
            <w:tcW w:w="3862" w:type="dxa"/>
            <w:textDirection w:val="lrTb"/>
            <w:noWrap w:val="false"/>
          </w:tcPr>
          <w:p>
            <w:pPr>
              <w:pStyle w:val="99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АДЫГЭ РЕСПУБЛИКЭМ Ц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ЫФХЭМ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ОФШ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ЭН ЯГЪЭГЪОТЫГЪЭНЫМК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Э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ИКЪЭРАЛЫГЪО КЪУЛЫКЪУ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ГЪЭ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ОРЫШ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АП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I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99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97"/>
            </w:pPr>
            <w:r/>
            <w:r/>
          </w:p>
        </w:tc>
      </w:tr>
    </w:tbl>
    <w:p>
      <w:pPr>
        <w:pStyle w:val="995"/>
        <w:ind w:firstLine="0"/>
        <w:outlineLvl w:val="1"/>
      </w:pPr>
      <w:r/>
      <w:r/>
    </w:p>
    <w:tbl>
      <w:tblPr>
        <w:tblW w:w="10314" w:type="dxa"/>
        <w:tblLook w:val="04A0" w:firstRow="1" w:lastRow="0" w:firstColumn="1" w:lastColumn="0" w:noHBand="0" w:noVBand="1"/>
      </w:tblPr>
      <w:tblGrid>
        <w:gridCol w:w="2376"/>
        <w:gridCol w:w="5469"/>
        <w:gridCol w:w="2469"/>
      </w:tblGrid>
      <w:tr>
        <w:tblPrEx/>
        <w:trPr/>
        <w:tc>
          <w:tcPr>
            <w:tcW w:w="2376" w:type="dxa"/>
            <w:textDirection w:val="lrTb"/>
            <w:noWrap w:val="false"/>
          </w:tcPr>
          <w:p>
            <w:pPr>
              <w:pStyle w:val="995"/>
              <w:ind w:firstLine="0"/>
              <w:widowControl w:val="off"/>
              <w:rPr>
                <w:b/>
                <w:caps/>
              </w:rPr>
              <w:outlineLvl w:val="1"/>
            </w:pPr>
            <w:r>
              <w:rPr>
                <w:b/>
                <w:caps/>
              </w:rPr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tcW w:w="5469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ПРОЕКТ     </w:t>
            </w:r>
            <w:r>
              <w:rPr>
                <w:b/>
                <w:iCs/>
                <w:sz w:val="28"/>
                <w:szCs w:val="28"/>
              </w:rPr>
              <w:t xml:space="preserve">ПРИКАЗ</w:t>
            </w:r>
            <w:r>
              <w:rPr>
                <w:b/>
                <w:iCs/>
                <w:sz w:val="28"/>
                <w:szCs w:val="28"/>
              </w:rPr>
            </w:r>
            <w:r>
              <w:rPr>
                <w:b/>
                <w:iCs/>
                <w:sz w:val="28"/>
                <w:szCs w:val="28"/>
              </w:rPr>
            </w:r>
          </w:p>
          <w:p>
            <w:pPr>
              <w:ind w:firstLine="3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от </w:t>
            </w:r>
            <w:r>
              <w:rPr>
                <w:iCs/>
                <w:sz w:val="28"/>
                <w:szCs w:val="28"/>
              </w:rPr>
              <w:t xml:space="preserve">______________ </w:t>
            </w:r>
            <w:r>
              <w:rPr>
                <w:iCs/>
                <w:sz w:val="28"/>
                <w:szCs w:val="28"/>
              </w:rPr>
              <w:t xml:space="preserve">№ </w:t>
            </w:r>
            <w:r>
              <w:rPr>
                <w:iCs/>
                <w:sz w:val="28"/>
                <w:szCs w:val="28"/>
              </w:rPr>
              <w:t xml:space="preserve">_______________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pStyle w:val="995"/>
              <w:ind w:firstLine="34"/>
              <w:jc w:val="center"/>
              <w:widowControl w:val="off"/>
              <w:rPr>
                <w:b/>
                <w:caps/>
              </w:rPr>
              <w:outlineLvl w:val="1"/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г. Майкоп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tcW w:w="2469" w:type="dxa"/>
            <w:textDirection w:val="lrTb"/>
            <w:noWrap w:val="false"/>
          </w:tcPr>
          <w:p>
            <w:pPr>
              <w:pStyle w:val="995"/>
              <w:ind w:firstLine="0"/>
              <w:widowControl w:val="off"/>
              <w:rPr>
                <w:b/>
                <w:caps/>
              </w:rPr>
              <w:outlineLvl w:val="1"/>
            </w:pPr>
            <w:r>
              <w:rPr>
                <w:b/>
                <w:caps/>
              </w:rPr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</w:tbl>
    <w:p>
      <w:pPr>
        <w:pStyle w:val="995"/>
        <w:ind w:firstLine="0"/>
        <w:outlineLvl w:val="1"/>
      </w:pPr>
      <w:r/>
      <w:r/>
    </w:p>
    <w:p>
      <w:pPr>
        <w:pStyle w:val="995"/>
        <w:ind w:firstLine="0"/>
        <w:outlineLvl w:val="1"/>
      </w:pPr>
      <w:r/>
      <w:r/>
    </w:p>
    <w:p>
      <w:pPr>
        <w:pStyle w:val="1001"/>
        <w:jc w:val="center"/>
        <w:spacing w:line="269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Доклада, содержащего результаты правоприменительной практики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Управления государственной службы занятости населения Республики Адыгея по осуществлению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за приемом на работу инвалидов в пределах установленной квоты,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0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0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31.07.2020 № 248-ФЗ «О государственном контроле (надзоре) и муниципальном контроле в Российской Федерации», а также пункта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Положения о региональном государственном контроле (надзоре) за приемом на работу инвалидов в пределах установленной квоты</w:t>
      </w:r>
      <w:r>
        <w:rPr>
          <w:sz w:val="28"/>
          <w:szCs w:val="28"/>
        </w:rPr>
        <w:t xml:space="preserve">, утвержденного</w:t>
      </w:r>
      <w:r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Кабинета Министров Республики Адыгея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.2021 № </w:t>
      </w:r>
      <w:r>
        <w:rPr>
          <w:sz w:val="28"/>
          <w:szCs w:val="28"/>
        </w:rPr>
        <w:t xml:space="preserve">275</w:t>
      </w:r>
      <w:r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некоторых вопросах осуществления </w:t>
      </w:r>
      <w:r>
        <w:rPr>
          <w:sz w:val="28"/>
          <w:szCs w:val="28"/>
        </w:rPr>
        <w:t xml:space="preserve">регионально</w:t>
      </w:r>
      <w:r>
        <w:rPr>
          <w:sz w:val="28"/>
          <w:szCs w:val="28"/>
        </w:rPr>
        <w:t xml:space="preserve">го государственного</w:t>
      </w:r>
      <w:r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(надзор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 за приемом на работу инвалидов в пределах установленной квоты»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Доклад, содержащий результаты </w:t>
      </w:r>
      <w:r>
        <w:rPr>
          <w:sz w:val="28"/>
          <w:szCs w:val="28"/>
        </w:rPr>
        <w:t xml:space="preserve">правоприменительной практики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Управления государственной службы занятости населения Республики Адыгея по осуществлению </w:t>
      </w:r>
      <w:r>
        <w:rPr>
          <w:sz w:val="28"/>
          <w:szCs w:val="28"/>
        </w:rPr>
        <w:t xml:space="preserve">регионального государственного контроля (надзора) за приемом на работу инвалидов в пределах установленной квоты, за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 к настоящему приказу</w:t>
      </w:r>
      <w:r>
        <w:rPr>
          <w:sz w:val="28"/>
          <w:szCs w:val="28"/>
        </w:rPr>
        <w:t xml:space="preserve"> (прилагается).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360" w:lineRule="auto"/>
        <w:rPr>
          <w:iCs/>
          <w:sz w:val="28"/>
          <w:szCs w:val="28"/>
        </w:rPr>
      </w:pPr>
      <w:r>
        <w:rPr>
          <w:sz w:val="28"/>
          <w:szCs w:val="28"/>
        </w:rPr>
        <w:t xml:space="preserve">Начальнику отдела профориентации, психологической поддержки, профобучения и информирования населения (А.А. Чернявскому) </w:t>
      </w:r>
      <w:r>
        <w:rPr>
          <w:iCs/>
          <w:sz w:val="28"/>
          <w:szCs w:val="28"/>
          <w:highlight w:val="none"/>
        </w:rPr>
        <w:t xml:space="preserve">разместить</w:t>
      </w:r>
      <w:r>
        <w:rPr>
          <w:iCs/>
          <w:sz w:val="28"/>
          <w:szCs w:val="28"/>
          <w:highlight w:val="none"/>
        </w:rPr>
        <w:t xml:space="preserve"> настоящий приказ на </w:t>
      </w:r>
      <w:r>
        <w:rPr>
          <w:iCs/>
          <w:sz w:val="28"/>
          <w:szCs w:val="28"/>
          <w:highlight w:val="none"/>
        </w:rPr>
        <w:t xml:space="preserve">официа</w:t>
      </w:r>
      <w:r>
        <w:rPr>
          <w:iCs/>
          <w:sz w:val="28"/>
          <w:szCs w:val="28"/>
        </w:rPr>
        <w:t xml:space="preserve">льном сайте</w:t>
      </w:r>
      <w:r>
        <w:rPr>
          <w:iCs/>
          <w:sz w:val="28"/>
          <w:szCs w:val="28"/>
        </w:rPr>
        <w:t xml:space="preserve"> органов исполнительной власти Республики Адыгея и на портале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УГСЗН Республики Адыге</w:t>
      </w:r>
      <w:r>
        <w:rPr>
          <w:iCs/>
          <w:sz w:val="28"/>
          <w:szCs w:val="28"/>
        </w:rPr>
        <w:t xml:space="preserve">я.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Контроль за выполнением настоящего приказа оставляю за собой.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Г.С. Цыганкова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left="6834" w:right="73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left="6834" w:right="73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 приказу УГСЗН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еспублики Адыгея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left="6834" w:right="73"/>
        <w:jc w:val="center"/>
        <w:spacing w:after="0"/>
        <w:rPr>
          <w:sz w:val="30"/>
        </w:rPr>
      </w:pP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______</w:t>
      </w:r>
      <w:r>
        <w:rPr>
          <w:sz w:val="30"/>
        </w:rPr>
      </w:r>
      <w:r>
        <w:rPr>
          <w:sz w:val="30"/>
        </w:rPr>
      </w:r>
    </w:p>
    <w:p>
      <w:pPr>
        <w:pStyle w:val="1003"/>
        <w:jc w:val="center"/>
        <w:spacing w:after="0"/>
        <w:rPr>
          <w:sz w:val="30"/>
        </w:rPr>
      </w:pPr>
      <w:r>
        <w:rPr>
          <w:sz w:val="30"/>
        </w:rPr>
      </w:r>
      <w:r>
        <w:rPr>
          <w:sz w:val="36"/>
          <w:szCs w:val="36"/>
        </w:rPr>
        <w:t xml:space="preserve">ПРОЕКТ</w:t>
      </w:r>
      <w:r>
        <w:rPr>
          <w:sz w:val="30"/>
        </w:rPr>
      </w:r>
      <w:r>
        <w:rPr>
          <w:sz w:val="30"/>
        </w:rPr>
      </w:r>
    </w:p>
    <w:p>
      <w:pPr>
        <w:pStyle w:val="1053"/>
        <w:ind w:left="856" w:right="896"/>
        <w:jc w:val="center"/>
        <w:spacing w:before="1" w:line="266" w:lineRule="auto"/>
        <w:suppressLineNumbers w:val="0"/>
      </w:pPr>
      <w:r>
        <w:t xml:space="preserve">Доклад, содержащий результаты обобщения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правоприменительной п</w:t>
      </w:r>
      <w:r>
        <w:rPr>
          <w:b/>
          <w:sz w:val="28"/>
        </w:rPr>
        <w:t xml:space="preserve">рактики</w:t>
      </w:r>
      <w:r>
        <w:rPr>
          <w:b/>
          <w:spacing w:val="-8"/>
          <w:sz w:val="28"/>
        </w:rPr>
        <w:t xml:space="preserve"> </w:t>
      </w:r>
      <w:r>
        <w:rPr>
          <w:b/>
        </w:rPr>
        <w:t xml:space="preserve">У</w:t>
      </w:r>
      <w:r>
        <w:rPr>
          <w:b/>
          <w:sz w:val="28"/>
        </w:rPr>
        <w:t xml:space="preserve">правления государственной службы занятости населения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Республики Адыгея</w:t>
      </w:r>
      <w:r>
        <w:rPr>
          <w:b/>
          <w:sz w:val="28"/>
        </w:rPr>
        <w:t xml:space="preserve"> по осуществлению р</w:t>
      </w:r>
      <w:r>
        <w:rPr>
          <w:b/>
          <w:sz w:val="28"/>
        </w:rPr>
        <w:t xml:space="preserve">егионального государственного контроля (</w:t>
      </w:r>
      <w:r>
        <w:rPr>
          <w:b/>
          <w:sz w:val="28"/>
          <w:szCs w:val="28"/>
        </w:rPr>
        <w:t xml:space="preserve">надзора) за приемом на работу инвалидов </w:t>
      </w:r>
      <w:r>
        <w:rPr>
          <w:b/>
          <w:sz w:val="28"/>
          <w:szCs w:val="28"/>
        </w:rPr>
      </w:r>
      <w:r/>
    </w:p>
    <w:p>
      <w:pPr>
        <w:ind w:right="40"/>
        <w:jc w:val="center"/>
        <w:spacing w:line="266" w:lineRule="auto"/>
        <w:rPr>
          <w:b/>
          <w:sz w:val="28"/>
        </w:rPr>
      </w:pPr>
      <w:r>
        <w:rPr>
          <w:b/>
          <w:sz w:val="28"/>
          <w:szCs w:val="28"/>
        </w:rPr>
        <w:t xml:space="preserve">в пред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лах установленной квоты,</w:t>
      </w:r>
      <w:r>
        <w:rPr>
          <w:b/>
        </w:rPr>
        <w:t xml:space="preserve"> </w:t>
      </w:r>
      <w:r>
        <w:rPr>
          <w:b/>
          <w:sz w:val="28"/>
        </w:rPr>
        <w:t xml:space="preserve">за 2025 год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03"/>
        <w:spacing w:before="5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1003"/>
        <w:ind w:firstLine="720"/>
        <w:jc w:val="both"/>
        <w:spacing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</w:t>
      </w:r>
      <w:r>
        <w:rPr>
          <w:spacing w:val="104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31 июля 2020 года        №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 xml:space="preserve">248-ФЗ «О государственном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(надзоре)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Федерации»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№ 248-ФЗ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пункта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Положения о региональном государственном контроле (надзоре) за приемом на работу инвалидов в пределах установленной квоты</w:t>
      </w:r>
      <w:r>
        <w:rPr>
          <w:sz w:val="28"/>
          <w:szCs w:val="28"/>
        </w:rPr>
        <w:t xml:space="preserve">, утвержденного</w:t>
      </w:r>
      <w:r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Кабинета Министров Республики Адыгея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17 декабря </w:t>
      </w:r>
      <w:r>
        <w:rPr>
          <w:sz w:val="28"/>
          <w:szCs w:val="28"/>
        </w:rPr>
        <w:t xml:space="preserve">2021 года № </w:t>
      </w:r>
      <w:r>
        <w:rPr>
          <w:sz w:val="28"/>
          <w:szCs w:val="28"/>
        </w:rPr>
        <w:t xml:space="preserve">275</w:t>
      </w:r>
      <w:r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некоторых вопросах осуществления </w:t>
      </w:r>
      <w:r>
        <w:rPr>
          <w:sz w:val="28"/>
          <w:szCs w:val="28"/>
        </w:rPr>
        <w:t xml:space="preserve">регионально</w:t>
      </w:r>
      <w:r>
        <w:rPr>
          <w:sz w:val="28"/>
          <w:szCs w:val="28"/>
        </w:rPr>
        <w:t xml:space="preserve">го государственного</w:t>
      </w:r>
      <w:r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(надзор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 за приемом на работу инвалидов в пределах установленной квоты»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Положение о контроле № 275)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Доклад, содержащий результаты обобщения </w:t>
      </w:r>
      <w:r>
        <w:rPr>
          <w:sz w:val="28"/>
          <w:szCs w:val="28"/>
        </w:rPr>
        <w:t xml:space="preserve">правоприменительной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занятости населения </w:t>
      </w:r>
      <w:r>
        <w:rPr>
          <w:spacing w:val="1"/>
          <w:sz w:val="28"/>
          <w:szCs w:val="28"/>
        </w:rPr>
        <w:t xml:space="preserve">Р</w:t>
      </w:r>
      <w:r>
        <w:rPr>
          <w:sz w:val="28"/>
          <w:szCs w:val="28"/>
        </w:rPr>
        <w:t xml:space="preserve">еспублики Адыгея по осуществлению </w:t>
      </w:r>
      <w:r>
        <w:rPr>
          <w:sz w:val="28"/>
          <w:szCs w:val="28"/>
        </w:rPr>
        <w:t xml:space="preserve">регионального государственного контроля (надзора) за приемом на работу инвалидов в пределах установленной квоты, </w:t>
      </w:r>
      <w:r>
        <w:rPr>
          <w:sz w:val="28"/>
          <w:szCs w:val="28"/>
        </w:rPr>
        <w:t xml:space="preserve"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об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правлении государственной службы занятости населения Республики Адыгея, утвержденным постановлением Кабинета Министров Республики Адыгея от 25 декабря 2006 года № 182 «Вопросы Управления государственной службы занятости населения Республики Адыгея»,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правлени</w:t>
      </w:r>
      <w:r>
        <w:rPr>
          <w:sz w:val="28"/>
          <w:szCs w:val="28"/>
        </w:rPr>
        <w:t xml:space="preserve">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занятости населения </w:t>
      </w:r>
      <w:r>
        <w:rPr>
          <w:spacing w:val="1"/>
          <w:sz w:val="28"/>
          <w:szCs w:val="28"/>
        </w:rPr>
        <w:t xml:space="preserve">Р</w:t>
      </w:r>
      <w:r>
        <w:rPr>
          <w:sz w:val="28"/>
          <w:szCs w:val="28"/>
        </w:rPr>
        <w:t xml:space="preserve">еспублики Адыгея (далее – УГСЗН Республики Адыгея) является органом исполнительной власти Республики Адыгея, уполномоченным на осуществление регионального государственного контроля (надзора) </w:t>
      </w:r>
      <w:r>
        <w:rPr>
          <w:sz w:val="28"/>
          <w:szCs w:val="28"/>
        </w:rPr>
        <w:t xml:space="preserve">за приемом на работу инвалидов в пределах установленной квоты (далее – региональный госуд</w:t>
      </w:r>
      <w:r>
        <w:rPr>
          <w:sz w:val="28"/>
          <w:szCs w:val="28"/>
        </w:rPr>
        <w:t xml:space="preserve">арственный контроль (надзор).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№ 248-ФЗ, </w:t>
      </w:r>
      <w:r>
        <w:rPr>
          <w:sz w:val="28"/>
          <w:szCs w:val="28"/>
        </w:rPr>
        <w:t xml:space="preserve">Положением о контроле № 275 реализация </w:t>
      </w:r>
      <w:r>
        <w:rPr>
          <w:sz w:val="28"/>
          <w:szCs w:val="28"/>
        </w:rPr>
        <w:t xml:space="preserve">УГСЗН Республики Адыгея полномочий по региональному государственному контролю (надзору) осуществляется посредством организации и проведения: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лановых контрольных (надзорных) мероприятий, которые проводятся на основании плана проведения плановых контрольных (надзорных) мероприятий на очередной календарный год, формируемого УГСЗН Республики Адыгея и подлежащего согласованию с органами прокуратуры;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внеплановых контрольных (надзорных) мероприятий, проводимых по основаниям, указанным в статье 57 </w:t>
      </w:r>
      <w:r>
        <w:rPr>
          <w:sz w:val="28"/>
          <w:szCs w:val="28"/>
        </w:rPr>
        <w:t xml:space="preserve">Федерального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</w:t>
      </w:r>
      <w:r>
        <w:rPr>
          <w:sz w:val="28"/>
          <w:szCs w:val="28"/>
        </w:rPr>
        <w:t xml:space="preserve"> № 248-ФЗ;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комплекса профилактических мероприятий (информирование; обобщение правоприменительной практики; объявление предостережения о недопустимости нарушения обязательных требований; консультирование; профилактический визит).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Контролируемыми лицами при осуществлении регионального государственного контроля (надзора)</w:t>
      </w:r>
      <w:r>
        <w:rPr>
          <w:sz w:val="28"/>
          <w:szCs w:val="28"/>
        </w:rPr>
        <w:t xml:space="preserve"> являются работодатели, у которых численность работников превышает</w:t>
      </w:r>
      <w:r>
        <w:rPr>
          <w:sz w:val="28"/>
          <w:szCs w:val="28"/>
        </w:rPr>
        <w:t xml:space="preserve"> 35 человек, осуществляющие деятельность на территории Республики Адыгея (далее – работодатели, контролируемые лица).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Предметом регионального государственного контроля (надзор</w:t>
      </w:r>
      <w:r>
        <w:rPr>
          <w:sz w:val="28"/>
          <w:szCs w:val="28"/>
        </w:rPr>
        <w:t xml:space="preserve">а) является соблюдение контролируемыми лицами обязательных требований в области квотирования рабочих мест, установленных нормативными правовыми актами Российской Федерации и нормативными правовыми актами Республики Адыгея (далее – обязательные требования).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Объектом регионального государственного контроля (надзора) является деятельность, действия (бездействие) контролируемых лиц по соблюдению обязательных требований.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Деятельность всех работодателей, обязанных выполнять квоту для приема на работу инвалидов, делится на категории риска: средний, умеренный, низкий.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Отнесение объектов контроля к одной из категорий риска причинения вреда (</w:t>
      </w:r>
      <w:r>
        <w:rPr>
          <w:sz w:val="28"/>
          <w:szCs w:val="28"/>
          <w:highlight w:val="none"/>
        </w:rPr>
        <w:t xml:space="preserve">ущерба) осуществляется УГСЗН Республики Адыгея на основе сопоставления их характеристик с Критериями отнесения объектов контроля к категориям риска причинения вреда (ущерба) в рамках осуществления регионального государственного контроля (надзора), которые </w:t>
      </w:r>
      <w:r>
        <w:rPr>
          <w:sz w:val="28"/>
          <w:szCs w:val="28"/>
        </w:rPr>
        <w:t xml:space="preserve">определены в Положении</w:t>
      </w:r>
      <w:r>
        <w:rPr>
          <w:sz w:val="28"/>
          <w:szCs w:val="28"/>
        </w:rPr>
        <w:t xml:space="preserve"> о контроле</w:t>
      </w:r>
      <w:r>
        <w:rPr>
          <w:sz w:val="28"/>
          <w:szCs w:val="28"/>
        </w:rPr>
        <w:t xml:space="preserve"> № 275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От категории риска зависит периодичность (частота) проведения плановых документарных и выездных проверок.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ГСЗН Республики Адыгея</w:t>
      </w:r>
      <w:r>
        <w:rPr>
          <w:sz w:val="28"/>
          <w:szCs w:val="28"/>
        </w:rPr>
        <w:t xml:space="preserve"> осуществляет ведение реестра работодателей, деятельности которых присвоены категории риска (далее – Реестр объектов контроля). С Реестром объектов контроля можно 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знакомиться на</w:t>
      </w:r>
      <w:r>
        <w:rPr>
          <w:sz w:val="28"/>
          <w:szCs w:val="28"/>
          <w:highlight w:val="none"/>
        </w:rPr>
        <w:t xml:space="preserve"> главной странице </w:t>
      </w:r>
      <w:r>
        <w:rPr>
          <w:sz w:val="28"/>
          <w:szCs w:val="28"/>
          <w:highlight w:val="none"/>
        </w:rPr>
        <w:t xml:space="preserve">портал</w:t>
      </w:r>
      <w:r>
        <w:rPr>
          <w:sz w:val="28"/>
          <w:szCs w:val="28"/>
          <w:highlight w:val="none"/>
        </w:rPr>
        <w:t xml:space="preserve">а УГСЗН Республики Адыгея в сети «Интернет»: </w:t>
      </w:r>
      <w:r>
        <w:rPr>
          <w:sz w:val="28"/>
          <w:szCs w:val="28"/>
          <w:highlight w:val="none"/>
          <w:lang w:val="en-US"/>
        </w:rPr>
        <w:t xml:space="preserve">https</w:t>
      </w:r>
      <w:r>
        <w:rPr>
          <w:sz w:val="28"/>
          <w:szCs w:val="28"/>
          <w:highlight w:val="none"/>
        </w:rPr>
        <w:t xml:space="preserve">://</w:t>
      </w:r>
      <w:r>
        <w:rPr>
          <w:sz w:val="28"/>
          <w:szCs w:val="28"/>
          <w:highlight w:val="none"/>
          <w:lang w:val="en-US"/>
        </w:rPr>
        <w:t xml:space="preserve">www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:lang w:val="en-US"/>
        </w:rPr>
        <w:t xml:space="preserve">zanad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:lang w:val="en-US"/>
        </w:rPr>
        <w:t xml:space="preserve">ru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По состоянию на 1 января 2025 года на территории Республики Адыгея действовали 345 работодателей, обязанных квотировать рабочие места для инвалидов (контролируемые лица). Подлежало квотированию у данных работод</w:t>
      </w:r>
      <w:r>
        <w:rPr>
          <w:sz w:val="28"/>
          <w:szCs w:val="28"/>
          <w:highlight w:val="none"/>
        </w:rPr>
        <w:t xml:space="preserve">ателей 813 рабочих мест для трудоустройства инвалидов, из них 36 – специальных рабочих мест. По состоянию на 1 января 2025 года численность инвалидов, работающих в счет квоты, составила 703 человека, из них на специальных рабочих местах - 32 человека.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left="0" w:firstLine="720"/>
        <w:jc w:val="both"/>
        <w:spacing w:after="0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В соответствии с частью 1 статьи 47 Федерального закона № 248-ФЗ обобщение правоприменительной практики проводится для решения следующих задач: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firstLine="720"/>
        <w:jc w:val="both"/>
        <w:spacing w:after="0" w:afterAutospacing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1) 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единообразных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подходов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(надзорным) органом и его должностными лицами обязательных требований,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(надзоре),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контроле;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 w:afterAutospacing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2) 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типичных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способствующих возникновению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 w:afterAutospacing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3) 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(ущерба)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охраняемым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ценностям,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(ущерба);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20"/>
        <w:jc w:val="both"/>
        <w:spacing w:after="0" w:afterAutospacing="0"/>
        <w:tabs>
          <w:tab w:val="left" w:pos="709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4) подготовки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актуализации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left="0" w:firstLine="720"/>
        <w:jc w:val="both"/>
        <w:spacing w:after="0" w:afterAutospacing="0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5) подготовки предложений о внесении изменений в законодательство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о государственном контроле (надзоре), муниципальном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контроле.</w:t>
      </w:r>
      <w:r>
        <w:rPr>
          <w:sz w:val="28"/>
          <w:szCs w:val="28"/>
          <w:highlight w:val="none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09"/>
        <w:jc w:val="both"/>
        <w:spacing w:after="0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и проверка исполнения контролируемыми лицами обязательных требований осуществляется с использованием Единой цифровой платформы в сфере занятости населения и трудовых отношений «Работа в России»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 – Единая цифровая платформа)</w:t>
      </w:r>
      <w:r>
        <w:rPr>
          <w:color w:val="000000" w:themeColor="text1"/>
          <w:sz w:val="28"/>
          <w:szCs w:val="28"/>
        </w:rPr>
        <w:t xml:space="preserve">, являющейся федеральной государственной информационной системой.</w:t>
      </w:r>
      <w:r>
        <w:rPr>
          <w:color w:val="ff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1003"/>
        <w:ind w:firstLine="709"/>
        <w:jc w:val="both"/>
        <w:spacing w:after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1053"/>
        <w:ind w:left="0" w:right="465" w:firstLine="709"/>
        <w:jc w:val="center"/>
        <w:spacing w:line="144" w:lineRule="auto"/>
      </w:pPr>
      <w:r/>
      <w:r/>
    </w:p>
    <w:p>
      <w:pPr>
        <w:pStyle w:val="1053"/>
        <w:numPr>
          <w:ilvl w:val="0"/>
          <w:numId w:val="28"/>
        </w:numPr>
        <w:ind w:right="467"/>
        <w:jc w:val="center"/>
      </w:pPr>
      <w:r>
        <w:t xml:space="preserve"> </w:t>
      </w:r>
      <w:r>
        <w:t xml:space="preserve">Обеспечение единообразных подходов к применению контрольным</w:t>
      </w:r>
      <w:r>
        <w:rPr>
          <w:spacing w:val="-67"/>
        </w:rPr>
        <w:t xml:space="preserve"> </w:t>
      </w:r>
      <w:r>
        <w:t xml:space="preserve">(надзорным)</w:t>
      </w:r>
      <w:r>
        <w:rPr>
          <w:spacing w:val="-2"/>
        </w:rPr>
        <w:t xml:space="preserve"> </w:t>
      </w:r>
      <w:r>
        <w:t xml:space="preserve">органом</w:t>
      </w:r>
      <w:r>
        <w:rPr>
          <w:spacing w:val="-1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его должностными</w:t>
      </w:r>
      <w:r>
        <w:rPr>
          <w:spacing w:val="-2"/>
        </w:rPr>
        <w:t xml:space="preserve"> </w:t>
      </w:r>
      <w:r>
        <w:t xml:space="preserve">лицами</w:t>
      </w:r>
      <w:r>
        <w:rPr>
          <w:spacing w:val="-1"/>
        </w:rPr>
        <w:t xml:space="preserve"> </w:t>
      </w:r>
      <w:r>
        <w:t xml:space="preserve">обязательных требований, </w:t>
      </w:r>
      <w:r>
        <w:t xml:space="preserve">з</w:t>
      </w:r>
      <w:r>
        <w:t xml:space="preserve">аконодательства Российской Федерации о государственном контроле (надзоре)</w:t>
      </w:r>
      <w:r/>
    </w:p>
    <w:p>
      <w:pPr>
        <w:ind w:left="0" w:firstLine="720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firstLine="720"/>
        <w:spacing w:after="0" w:afterAutospacing="0"/>
        <w:rPr>
          <w:b w:val="0"/>
          <w:bCs w:val="0"/>
          <w:sz w:val="28"/>
          <w:szCs w:val="28"/>
          <w:highlight w:val="none"/>
        </w:rPr>
        <w:suppressLineNumbers w:val="0"/>
      </w:pPr>
      <w:r>
        <w:rPr>
          <w:b w:val="0"/>
          <w:bCs w:val="0"/>
          <w:sz w:val="28"/>
          <w:szCs w:val="28"/>
        </w:rPr>
        <w:t xml:space="preserve">Реализация контрольных (надзорных) мероприятий осуществляется УГСЗН Республики Адыгея в условиях постоянного изменения обязательных требований, а также законодательства, регулирующего осуществление надзора.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left="0" w:firstLine="720"/>
        <w:spacing w:after="0" w:afterAutospacing="0"/>
        <w:rPr>
          <w:b/>
          <w:bCs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</w:rPr>
        <w:t xml:space="preserve">С 1 сентября 2024 года произошло существенное обновление федерального и республиканского законодательства, содержащего обязательные требования, изменились структура обязательных требований и субъектовый состав контролируемых лиц.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firstLine="720"/>
        <w:spacing w:after="0" w:afterAutospacing="0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</w:rPr>
        <w:t xml:space="preserve">С 1 сентября 2024 года произошло сокращение объема обязательных требований, </w:t>
      </w:r>
      <w:r>
        <w:rPr>
          <w:b w:val="0"/>
          <w:bCs w:val="0"/>
          <w:sz w:val="28"/>
          <w:szCs w:val="28"/>
        </w:rPr>
        <w:t xml:space="preserve">из их числа исключены обязанности работодателей по созданию или выделению рабочих мест для трудоустройства инвалидов в соответствии с установленной квотой, принятию локальных нормативных актов, содержащих сведения о созданных или выделенных рабочих местах.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firstLine="720"/>
        <w:spacing w:after="0" w:afterAutospacing="0"/>
        <w:rPr>
          <w:b w:val="0"/>
          <w:bCs w:val="0"/>
          <w:sz w:val="28"/>
          <w:szCs w:val="28"/>
          <w:highlight w:val="none"/>
        </w:rPr>
        <w:suppressLineNumbers w:val="0"/>
      </w:pPr>
      <w:r>
        <w:rPr>
          <w:b w:val="0"/>
          <w:bCs w:val="0"/>
          <w:sz w:val="28"/>
          <w:szCs w:val="28"/>
          <w:highlight w:val="none"/>
        </w:rPr>
        <w:t xml:space="preserve">С указанного периода </w:t>
      </w:r>
      <w:r>
        <w:rPr>
          <w:b w:val="0"/>
          <w:bCs w:val="0"/>
          <w:sz w:val="28"/>
          <w:szCs w:val="28"/>
          <w:highlight w:val="none"/>
        </w:rPr>
        <w:t xml:space="preserve">обязательные требования установлены: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4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частями 1, 3 - 8 статьи 38, пунктами 6, 7 части 1, частями 2, 6, 7,9,10 статьи 53 Федерального закона № 565-ФЗ;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4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пунктами 2, 3 Правил выполнения работодателем квоты для приема на работу инвалидов, утвержденных постановлением Правительства Российской Федерации от 30 мая 2024 года № 709 (далее – Правила выпол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нения квоты        № 709);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4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формой № 7, являющейся приложением к приказу Министерства труда и социальной защиты Российской Федерации от 16 апреля 2024 года       № 195н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 (далее – приказ Минтруда России № 195н);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4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статьей 3 Закона Республики Адыгея от 17 декабря 2024 года № 402 «О регулировании отдельных вопросов в сфере занятости населения» (далее – Закон Республики Адыгея № 402);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4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пунктом 1 постановления Кабинета Министров Республики Адыгея от 28 октября 2014 года № 259 «О минимальном количестве специальных рабочих мест для трудоустройства инвалидов» (далее – постановление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Кабинета Министров Республики Адыгея № 259)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b w:val="0"/>
          <w:bCs w:val="0"/>
          <w:sz w:val="28"/>
          <w:szCs w:val="28"/>
          <w:highlight w:val="none"/>
        </w:rPr>
        <w:suppressLineNumbers w:val="0"/>
      </w:pPr>
      <w:r>
        <w:rPr>
          <w:b w:val="0"/>
          <w:bCs w:val="0"/>
          <w:sz w:val="28"/>
          <w:szCs w:val="28"/>
          <w:highlight w:val="none"/>
        </w:rPr>
        <w:t xml:space="preserve">С 1 сентября 2024 года в структуру обязательных требований входят: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5"/>
        </w:numPr>
        <w:ind w:left="0" w:firstLine="720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ыполнение установленной квоты для приема на работу инвалидов (части 1, 3 - 8 статьи 38 Федерального закона № 565-ФЗ; пункты 2, 3 Правил выполнения работодателем квоты № 709);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35"/>
        </w:numPr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представление в органы службы занятости Республики Адыгея информации о выполнении квоты для приема на работу инвалидов (пункт 7 части 1, части 2, 7, 9, 10 статьи 53 Федерального закона № 565-ФЗ; форма № 7 , утвержденная приказом Минтруда России № 195).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Согласно перечисленным выше нормативным правовым актам к числу контролируемых лиц, обязанных квотировать рабочие места для инвалидов относятся: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работодатели, осуществляющие деятельность на территории Республики Адыгея,у которых численность работников превышает 35 человек;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филиалы и представительства работодателя, осуществляющего деятельность на территории других субъектов Российской Федерации, расположенные на территории Республики Адыгея, у которых численность работников превышает 35 человек.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Постановлением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Кабинета Министров Республики Адыгея</w:t>
      </w:r>
      <w:r>
        <w:rPr>
          <w:b w:val="0"/>
          <w:i w:val="0"/>
          <w:iCs w:val="0"/>
          <w:highlight w:val="none"/>
        </w:rPr>
        <w:t xml:space="preserve"> № 259 установлено минимальное количество специальных рабочих мест для трудоустройства инвалидов для каждого работодателя в пределах установленной квоты для приема на работу инвалидов: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от шести до пятнадцати – одно специальное рабочее место;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от пятнадцати до тридцати – два специальных рабочих места;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свыше тридцати – три специальных рабочих места.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Правилами выполнения квоты № 709 установлено, что выполнение работодателем установленной квоты обеспечивается в случаях наличия: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заключенного трудового договора с инвалидом на рабочее место непосредственно у работодателя. При трудоустройстве одного инвалида I группы исполнение квоты считается кратным 2 рабочим местам для трудоустройства инвалидов;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заключенного трудового договора между инвалидом и иной организацией, включая общественные объединения инвалидов и образованные ими организации, в том числе хозяйственные товарищества и </w:t>
      </w:r>
      <w:r>
        <w:rPr>
          <w:b w:val="0"/>
          <w:i w:val="0"/>
          <w:iCs w:val="0"/>
          <w:highlight w:val="none"/>
        </w:rPr>
        <w:t xml:space="preserve">общества, уставный (</w:t>
      </w:r>
      <w:r>
        <w:rPr>
          <w:b w:val="0"/>
          <w:i w:val="0"/>
          <w:iCs w:val="0"/>
          <w:highlight w:val="none"/>
        </w:rPr>
        <w:t xml:space="preserve">складочный) капитал которых состоит из вклада общественного объединения инвалидов (далее – иная организация), заключившей соглашение о трудоустройстве инвалида с работодателем, которому установлена квота для приема на работу инвалидов (далее – соглашение);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заключенного трудового договора между инвалидом и индивидуальным предпринимателем, заключившим соглашение;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договора возмездного оказания услуг или иного договора с орган</w:t>
      </w:r>
      <w:r>
        <w:rPr>
          <w:b w:val="0"/>
          <w:i w:val="0"/>
          <w:iCs w:val="0"/>
          <w:highlight w:val="none"/>
        </w:rPr>
        <w:t xml:space="preserve">изацией, обеспечивающей для группы организаций выполнение квоты посредством заключения соглашения с иной организацией или индивидуальным предпринимателем, заключенного трудового договора между инвалидом и иной организацией, индивидуальным предпринимателем.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С принятием Правил выполнения квоты № 709 появился новый способ выполнения квоты - </w:t>
      </w:r>
      <w:r>
        <w:rPr>
          <w:b w:val="0"/>
          <w:i w:val="0"/>
          <w:iCs w:val="0"/>
          <w:highlight w:val="none"/>
        </w:rPr>
        <w:t xml:space="preserve">договор возмездного оказания услуг или иной договор с организацией, обеспечивающей для группы организаций выполнение квоты посредством заключения соглашения с иной организацией или индивидуальным предпринимателем.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Кро</w:t>
      </w:r>
      <w:r>
        <w:rPr>
          <w:b w:val="0"/>
          <w:i w:val="0"/>
          <w:iCs w:val="0"/>
          <w:highlight w:val="none"/>
        </w:rPr>
        <w:t xml:space="preserve">ме того, с 20 ноября 2025 года постановлением Правительства Российской Федерации от 8 ноября 2025 года № 1765 Правила выполнения квоты № 709 дополнены положением, согласно которому исполнение квоты для приема на работу инвалидов считается кратным 2 рабочим</w:t>
      </w:r>
      <w:r>
        <w:rPr>
          <w:b w:val="0"/>
          <w:i w:val="0"/>
          <w:iCs w:val="0"/>
          <w:highlight w:val="none"/>
        </w:rPr>
        <w:t xml:space="preserve"> местам для трудоустройства инвалидов при трудоустройстве одного инвалида из числа ветеранов боевых действий, указанных в подпунктах 1, 1.1, 2.2 - 2.5 пункта 1 статьи 3 Федерального закона «О ветеранах» и принимавших участие в специальной военной операции.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i w:val="0"/>
          <w:iCs w:val="0"/>
          <w:highlight w:val="none"/>
        </w:rPr>
        <w:t xml:space="preserve">Законом Республики Адыгея № 402 квота для приема на работу инвалидов в организациях независимо от организационно-правовых форм устанавливается в следующих размерах: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985"/>
        <w:numPr>
          <w:ilvl w:val="0"/>
          <w:numId w:val="40"/>
        </w:numPr>
        <w:ind w:left="0" w:firstLine="720"/>
        <w:jc w:val="both"/>
        <w:spacing w:after="0" w:afterAutospacing="0"/>
        <w:rPr>
          <w:b w:val="0"/>
          <w:bCs w:val="0"/>
          <w:i w:val="0"/>
          <w:sz w:val="28"/>
          <w:szCs w:val="28"/>
          <w:highlight w:val="none"/>
        </w:rPr>
        <w:suppressLineNumbers w:val="0"/>
      </w:pPr>
      <w:r>
        <w:rPr>
          <w:b w:val="0"/>
          <w:i w:val="0"/>
          <w:iCs w:val="0"/>
          <w:sz w:val="28"/>
          <w:szCs w:val="28"/>
          <w:highlight w:val="none"/>
        </w:rPr>
        <w:t xml:space="preserve">для работодателей, численность работников которых превышает 100 человек, – в размере 3 процентов от среднесписочной числ</w:t>
      </w:r>
      <w:r>
        <w:rPr>
          <w:b w:val="0"/>
          <w:i w:val="0"/>
          <w:iCs w:val="0"/>
          <w:sz w:val="28"/>
          <w:szCs w:val="28"/>
          <w:highlight w:val="none"/>
        </w:rPr>
        <w:t xml:space="preserve">енности работников;</w:t>
      </w:r>
      <w:r>
        <w:rPr>
          <w:b w:val="0"/>
          <w:bCs w:val="0"/>
          <w:i w:val="0"/>
          <w:sz w:val="28"/>
          <w:szCs w:val="28"/>
          <w:highlight w:val="none"/>
        </w:rPr>
      </w:r>
      <w:r>
        <w:rPr>
          <w:b w:val="0"/>
          <w:bCs w:val="0"/>
          <w:i w:val="0"/>
          <w:sz w:val="28"/>
          <w:szCs w:val="28"/>
          <w:highlight w:val="none"/>
        </w:rPr>
      </w:r>
    </w:p>
    <w:p>
      <w:pPr>
        <w:pStyle w:val="996"/>
        <w:numPr>
          <w:ilvl w:val="0"/>
          <w:numId w:val="40"/>
        </w:numPr>
        <w:ind w:left="0"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none"/>
        </w:rPr>
        <w:t xml:space="preserve">для работодателей, численность 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none"/>
        </w:rPr>
        <w:t xml:space="preserve">работников которых составляет свыше 35 человек и не более 100 человек, – в размере 2 процентов от среднесписочной числ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none"/>
        </w:rPr>
        <w:t xml:space="preserve">енности работников.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В 2025 году произошло изменение законодательства, регулирующего порядок осуществления УГСЗН Республики Адыгея контрольной (надзорной) деятельности.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Федеральным законом от 28 декабря 2024 года № 540-ФЗ внесены изменения в Федеральный закон № 248-ФЗ, согласно которым: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перечень информационных систем в сфере контрольной (надзорной) деятельности на законодательном уровне дополнен мобильным приложением «Инспектор»;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установлено, что перечни объектов контроля вносятся в Единый реестр видов контроля (ЕРВК) в обязательном порядке;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акты и (или) предписания подлежат учету в едином реестре контрольных (надзорных) мероприятий ((ЕРКНМ);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заявление об изменении присвоенной категории риска может быть подано в том числе через федеральную государственную информационную систему «Единый портал государственных и муниципальных услуг» (ЕПГУ);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уточнена периодичность проведения плановых контрольных (надзорных) мероприятий (КНМ) со взаимоде</w:t>
      </w:r>
      <w:r>
        <w:rPr>
          <w:b w:val="0"/>
          <w:bCs w:val="0"/>
          <w:i w:val="0"/>
          <w:highlight w:val="none"/>
        </w:rPr>
        <w:t xml:space="preserve">йствием и обязательных профилактических визитов; плановые КНМ со взаимодействием проводятся только в отношении объектов контроля, отнесенных к чрезвычайно высокой и высокой категориям рисков. Для иных категорий – только обязательный профилактический визит;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установлена периодичность проведения обязательного профилактического визита;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в рамках досудебного обжалования может быть дополнительно обжаловано решение, акт, предписание, выданные по итогам проведения обяза</w:t>
      </w:r>
      <w:r>
        <w:rPr>
          <w:b w:val="0"/>
          <w:bCs w:val="0"/>
          <w:i w:val="0"/>
          <w:highlight w:val="none"/>
        </w:rPr>
        <w:t xml:space="preserve">т</w:t>
      </w:r>
      <w:r>
        <w:rPr>
          <w:b w:val="0"/>
          <w:bCs w:val="0"/>
          <w:i w:val="0"/>
          <w:highlight w:val="none"/>
        </w:rPr>
        <w:t xml:space="preserve">ельного профилактического визита, а также решения об отнесении объектов контроля к категории риска, решения о проведении обязательного профилактического визита по заявлениям контролируемых лиц и иные решения контрольного органа в рамках контроля (надзора);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сокращен срок рассмотрения жалобы в системе досудебного обжалования;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numPr>
          <w:ilvl w:val="0"/>
          <w:numId w:val="42"/>
        </w:numPr>
        <w:ind w:left="0" w:right="0" w:firstLine="720"/>
        <w:jc w:val="both"/>
        <w:spacing w:after="0" w:afterAutospacing="0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существенным образом изменено правовое регулирование профилактического визита: введены два вида профилактических визитов: обязательный (по инициативе контрольного органа) и по инициативе контролируемого лица</w:t>
      </w:r>
      <w:r>
        <w:rPr>
          <w:b w:val="0"/>
          <w:bCs w:val="0"/>
          <w:i w:val="0"/>
          <w:highlight w:val="none"/>
        </w:rPr>
        <w:t xml:space="preserve">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Также вступило в силу постановление Правительства Российской Ф</w:t>
      </w:r>
      <w:r>
        <w:rPr>
          <w:b w:val="0"/>
          <w:bCs w:val="0"/>
          <w:i w:val="0"/>
          <w:highlight w:val="none"/>
        </w:rPr>
        <w:t xml:space="preserve">едерации от 1 октября 2025 года № 1511 «О периодичности проведения обязательных профилактических визитов в рамках государственного контроля (надзора), муниципального контроля», устанавливающее периодичность проведения обязательных профилактических визитов.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rPr>
          <w:b w:val="0"/>
          <w:bCs w:val="0"/>
          <w:i w:val="0"/>
          <w:highlight w:val="none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В целях реализации обновленного федерального законодательства УГСЗН Республики Адыгея приняты необходимые меры для приведения в соответствие с ними</w:t>
      </w:r>
      <w:r>
        <w:rPr>
          <w:b w:val="0"/>
          <w:bCs w:val="0"/>
          <w:i w:val="0"/>
          <w:highlight w:val="none"/>
        </w:rPr>
        <w:t xml:space="preserve"> Положения о региональном государственном контроле (надзоре) за приемом на работу инвалидов в пределах установленной квоты: подготовлено и издано постановление Кабинета Министров Республики Адыгея от 3 июля 2025 года № 93 «О внесении изменений в Положение </w:t>
      </w:r>
      <w:r>
        <w:rPr>
          <w:b w:val="0"/>
          <w:bCs w:val="0"/>
          <w:i w:val="0"/>
          <w:highlight w:val="none"/>
        </w:rPr>
        <w:t xml:space="preserve">о региональном государственном контроле (надзоре) за приемом на работу инвалидов в пределах установленной квоты».</w:t>
      </w:r>
      <w:r>
        <w:rPr>
          <w:b w:val="0"/>
          <w:bCs w:val="0"/>
          <w:i w:val="0"/>
          <w:highlight w:val="none"/>
        </w:rPr>
        <w:t xml:space="preserve"> В 2026 году в Положение о контроле № 275 необходимо будет внести изменения в части проведения плановых проверок. </w:t>
      </w:r>
      <w:r>
        <w:rPr>
          <w:b w:val="0"/>
          <w:bCs w:val="0"/>
          <w:i w:val="0"/>
          <w:highlight w:val="none"/>
        </w:rPr>
      </w:r>
      <w:r>
        <w:rPr>
          <w:b w:val="0"/>
          <w:bCs w:val="0"/>
          <w:i w:val="0"/>
          <w:highlight w:val="none"/>
        </w:rPr>
      </w:r>
    </w:p>
    <w:p>
      <w:pPr>
        <w:pStyle w:val="1053"/>
        <w:ind w:left="0" w:right="0" w:firstLine="720"/>
        <w:jc w:val="both"/>
        <w:rPr>
          <w:b w:val="0"/>
          <w:bCs w:val="0"/>
          <w:i w:val="0"/>
          <w:highlight w:val="green"/>
        </w:rPr>
        <w:suppressLineNumbers w:val="0"/>
      </w:pPr>
      <w:r>
        <w:rPr>
          <w:b w:val="0"/>
          <w:bCs w:val="0"/>
          <w:i w:val="0"/>
          <w:highlight w:val="none"/>
        </w:rPr>
        <w:t xml:space="preserve">В связи с введением на федеральном уровне понятия выполнения квоты внесены корреспо</w:t>
      </w:r>
      <w:r>
        <w:rPr>
          <w:b w:val="0"/>
          <w:bCs w:val="0"/>
          <w:i w:val="0"/>
          <w:highlight w:val="none"/>
        </w:rPr>
        <w:t xml:space="preserve">ндирующие изменения в КоАП РФ. Так, принят Федеральный закон от 9 ноября 2024 года № 382-ФЗ «О внесении изменений в статью 5.42 Кодекса Российской Федерации об административных правонарушениях», которым установлена административная ответственность за неисп</w:t>
      </w:r>
      <w:r>
        <w:rPr>
          <w:b w:val="0"/>
          <w:bCs w:val="0"/>
          <w:i w:val="0"/>
          <w:highlight w:val="none"/>
        </w:rPr>
        <w:t xml:space="preserve">олнение работодателем обязанности по выполнению квоты для приема на работу инвалидов, за исключением случаев освобождения работодателя от выполнения установленной квоты, либо отказ работодателя в приеме на работу инвалида в пределах установленной квоты, в</w:t>
      </w:r>
      <w:r>
        <w:rPr>
          <w:b w:val="0"/>
          <w:bCs w:val="0"/>
          <w:i w:val="0"/>
          <w:highlight w:val="none"/>
        </w:rPr>
        <w:t xml:space="preserve">лекущее наложение административного штрафа на должностных лиц в размере от двадцати тысяч до тридцати тысяч рублей; на индивидуальных предпринимателей -  от тридцати до пятидесяти тысяч рублей; на юридических лиц – от пятидесяти тысяч до ста тысяч рублей. </w:t>
      </w:r>
      <w:r>
        <w:rPr>
          <w:b w:val="0"/>
          <w:bCs w:val="0"/>
          <w:i w:val="0"/>
          <w:highlight w:val="none"/>
        </w:rPr>
        <w:t xml:space="preserve">   </w:t>
      </w:r>
      <w:r>
        <w:rPr>
          <w:b w:val="0"/>
          <w:bCs w:val="0"/>
          <w:i w:val="0"/>
          <w:highlight w:val="green"/>
        </w:rPr>
      </w:r>
      <w:r>
        <w:rPr>
          <w:b w:val="0"/>
          <w:bCs w:val="0"/>
          <w:i w:val="0"/>
          <w:highlight w:val="green"/>
        </w:rPr>
      </w:r>
    </w:p>
    <w:p>
      <w:pPr>
        <w:pStyle w:val="1053"/>
        <w:ind w:right="0"/>
        <w:jc w:val="both"/>
        <w:rPr>
          <w:b w:val="0"/>
          <w:bCs w:val="0"/>
          <w:i w:val="0"/>
          <w:highlight w:val="green"/>
        </w:rPr>
        <w:suppressLineNumbers w:val="0"/>
      </w:pPr>
      <w:r>
        <w:rPr>
          <w:b w:val="0"/>
          <w:i w:val="0"/>
          <w:iCs w:val="0"/>
          <w:highlight w:val="none"/>
        </w:rPr>
      </w:r>
      <w:r>
        <w:rPr>
          <w:b w:val="0"/>
          <w:bCs w:val="0"/>
          <w:i w:val="0"/>
          <w:highlight w:val="green"/>
        </w:rPr>
      </w:r>
      <w:r>
        <w:rPr>
          <w:b w:val="0"/>
          <w:bCs w:val="0"/>
          <w:i w:val="0"/>
          <w:highlight w:val="green"/>
        </w:rPr>
      </w:r>
    </w:p>
    <w:p>
      <w:pPr>
        <w:pStyle w:val="1053"/>
        <w:ind w:left="709" w:right="947"/>
        <w:jc w:val="center"/>
        <w:tabs>
          <w:tab w:val="left" w:pos="709" w:leader="none"/>
        </w:tabs>
      </w:pPr>
      <w:r>
        <w:t xml:space="preserve">2. Правоприменительная практика соблюдения и нарушения</w:t>
      </w:r>
      <w:r>
        <w:rPr>
          <w:spacing w:val="1"/>
        </w:rPr>
        <w:t xml:space="preserve"> </w:t>
      </w:r>
      <w:r>
        <w:t xml:space="preserve">юридическими</w:t>
      </w:r>
      <w:r>
        <w:rPr>
          <w:spacing w:val="-7"/>
        </w:rPr>
        <w:t xml:space="preserve"> </w:t>
      </w:r>
      <w:r>
        <w:t xml:space="preserve">лицами</w:t>
      </w:r>
      <w:r>
        <w:rPr>
          <w:spacing w:val="-7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индивидуальными</w:t>
      </w:r>
      <w:r>
        <w:rPr>
          <w:spacing w:val="-7"/>
        </w:rPr>
        <w:t xml:space="preserve"> </w:t>
      </w:r>
      <w:r>
        <w:t xml:space="preserve">предпринимателями обязательных требований</w:t>
      </w:r>
      <w:r/>
    </w:p>
    <w:p>
      <w:pPr>
        <w:pStyle w:val="1003"/>
        <w:ind w:firstLine="709"/>
        <w:jc w:val="both"/>
        <w:spacing w:before="11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03"/>
        <w:ind w:right="0" w:firstLine="720"/>
        <w:jc w:val="both"/>
        <w:spacing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2025 году УГСЗН Республики Адыгея осуществляло региональный государст</w:t>
      </w:r>
      <w:r>
        <w:rPr>
          <w:sz w:val="28"/>
          <w:szCs w:val="28"/>
        </w:rPr>
        <w:t xml:space="preserve">венный контроль (надзор) в условиях действия ограничений,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right="0" w:firstLine="720"/>
        <w:jc w:val="both"/>
        <w:spacing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В соответствии со статьей 61 Федерального закона № 248-ФЗ </w:t>
      </w:r>
      <w:r>
        <w:rPr>
          <w:sz w:val="28"/>
          <w:szCs w:val="28"/>
          <w:highlight w:val="none"/>
        </w:rPr>
        <w:t xml:space="preserve">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формируемого к</w:t>
      </w:r>
      <w:r>
        <w:rPr>
          <w:sz w:val="28"/>
          <w:szCs w:val="28"/>
          <w:highlight w:val="none"/>
        </w:rPr>
        <w:t xml:space="preserve">онтрольным (надзорным) органом и подлежащего согласованию с органами проку</w:t>
      </w:r>
      <w:r>
        <w:rPr>
          <w:sz w:val="28"/>
          <w:szCs w:val="28"/>
        </w:rPr>
        <w:t xml:space="preserve">ратуры.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right="0" w:firstLine="720"/>
        <w:jc w:val="both"/>
        <w:spacing w:after="0"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Учитывая отсутствие объектов контроля, отнесенных к категориям чрезвычайно высокого и высокого риска в Перечне объектов регионального государственного контроля (надзора), правовые основания для проведения плановых контрольных (надзорных) мероприятий </w:t>
      </w:r>
      <w:r>
        <w:rPr>
          <w:sz w:val="28"/>
          <w:szCs w:val="28"/>
        </w:rPr>
        <w:t xml:space="preserve">УГСЗН Республики Адыгея</w:t>
      </w:r>
      <w:r>
        <w:rPr>
          <w:sz w:val="28"/>
          <w:szCs w:val="28"/>
        </w:rPr>
        <w:t xml:space="preserve"> в 2025 году отсутствовали. В связи с чем </w:t>
      </w:r>
      <w:r>
        <w:rPr>
          <w:sz w:val="28"/>
          <w:szCs w:val="28"/>
        </w:rPr>
        <w:t xml:space="preserve">план контрольных (надзорных) мероприятий на 2025 год </w:t>
      </w:r>
      <w:r>
        <w:rPr>
          <w:sz w:val="28"/>
          <w:szCs w:val="28"/>
        </w:rPr>
        <w:t xml:space="preserve">не формировался.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spacing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</w:rPr>
        <w:t xml:space="preserve">На протяжении 2025 года проведение внеплановых контрольных (надзорных) мероприятий в отношении работодателей, допускающих нарушения </w:t>
      </w:r>
      <w:r>
        <w:rPr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бязательных требований в сфере квотирования рабочих мест для приема на работу инвалидов</w:t>
      </w:r>
      <w:r>
        <w:rPr>
          <w:color w:val="000000" w:themeColor="text1"/>
          <w:sz w:val="28"/>
          <w:szCs w:val="28"/>
        </w:rPr>
        <w:t xml:space="preserve">, не было ввиду о</w:t>
      </w:r>
      <w:r>
        <w:rPr>
          <w:color w:val="000000" w:themeColor="text1"/>
          <w:sz w:val="28"/>
          <w:szCs w:val="28"/>
        </w:rPr>
        <w:t xml:space="preserve">тсутствия необходимых правовых оснований, таких как предписание прокуратуры,</w:t>
      </w:r>
      <w:r>
        <w:rPr>
          <w:iCs/>
          <w:sz w:val="28"/>
          <w:szCs w:val="28"/>
        </w:rPr>
        <w:t xml:space="preserve"> признаков риска нарушения обязательных требований</w:t>
      </w:r>
      <w:r>
        <w:rPr>
          <w:iCs/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20"/>
        <w:spacing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Обжалования в административном и (или) судебном порядке решений УГСЗН Республики Адыгея, действий (бездействия) его должностных лиц, связанных с осуществлением регионального государственного контроля (надзора), в 2025 году не было.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Представления, иные акты прокурорского реагирования на решения УГСЗН Республики Адыгея, действия (бездействия) его </w:t>
      </w:r>
      <w:r>
        <w:rPr>
          <w:sz w:val="28"/>
          <w:szCs w:val="28"/>
          <w:highlight w:val="none"/>
        </w:rPr>
        <w:t xml:space="preserve">должностных лиц, </w:t>
      </w:r>
      <w:r>
        <w:rPr>
          <w:sz w:val="28"/>
          <w:szCs w:val="28"/>
          <w:highlight w:val="none"/>
        </w:rPr>
        <w:t xml:space="preserve">связанных с осуществлением регионального государственного контроля (надзора), в 2025 году не</w:t>
      </w:r>
      <w:r>
        <w:rPr>
          <w:sz w:val="28"/>
          <w:szCs w:val="28"/>
          <w:highlight w:val="none"/>
        </w:rPr>
        <w:t xml:space="preserve"> поступали.</w:t>
      </w:r>
      <w:r>
        <w:rPr>
          <w:sz w:val="28"/>
          <w:szCs w:val="28"/>
          <w:highlight w:val="none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iCs/>
          <w:sz w:val="28"/>
          <w:szCs w:val="28"/>
          <w:highlight w:val="none"/>
        </w:rPr>
        <w:suppressLineNumbers w:val="0"/>
      </w:pPr>
      <w:r>
        <w:rPr>
          <w:iCs/>
          <w:sz w:val="28"/>
          <w:szCs w:val="28"/>
        </w:rPr>
        <w:t xml:space="preserve">УГСЗН Республики Адыгея</w:t>
      </w:r>
      <w:r>
        <w:rPr>
          <w:iCs/>
          <w:sz w:val="28"/>
          <w:szCs w:val="28"/>
        </w:rPr>
        <w:t xml:space="preserve"> осуществляло мероприятия по профилактике нарушения обязательных требований.</w:t>
      </w:r>
      <w:r>
        <w:rPr>
          <w:iCs/>
          <w:sz w:val="28"/>
          <w:szCs w:val="28"/>
        </w:rPr>
        <w:t xml:space="preserve"> Профилактические мероприятия в рамках </w:t>
      </w:r>
      <w:r>
        <w:rPr>
          <w:sz w:val="28"/>
          <w:szCs w:val="28"/>
          <w:highlight w:val="none"/>
        </w:rPr>
        <w:t xml:space="preserve">осуществления регионального государственного контроля (надзора), в 2025 году реализовывались на основании Программы профилактики </w:t>
      </w:r>
      <w:r>
        <w:rPr>
          <w:sz w:val="28"/>
        </w:rPr>
        <w:t xml:space="preserve">рисков причинения вреда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(ущерба) охраняемым законом ценностям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регионального государственного контроля (надзора) 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приемом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инвалидов на 2025 год</w:t>
      </w:r>
      <w:r>
        <w:rPr>
          <w:sz w:val="28"/>
        </w:rPr>
        <w:t xml:space="preserve">, </w:t>
      </w:r>
      <w:r>
        <w:rPr>
          <w:sz w:val="28"/>
          <w:szCs w:val="28"/>
          <w:highlight w:val="none"/>
        </w:rPr>
        <w:t xml:space="preserve">утвержденной приказом УГСЗН Республики Адыгея от 15 ноября 2024 года № 01/2-77.</w:t>
      </w:r>
      <w:r>
        <w:rPr>
          <w:iCs/>
          <w:sz w:val="28"/>
          <w:szCs w:val="28"/>
          <w:highlight w:val="none"/>
        </w:rPr>
      </w:r>
      <w:r>
        <w:rPr>
          <w:iCs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УГСЗН Республики Адыгея реализована профилактическая работа в отношении работодателей, обязанных квотировать рабочие места для инвалидов, в том числе осуществлялся анализ информации о выполнении установл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енной квоты для приема на работу инвалидов, которая еж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емесячно представляется работодателями в государственное казенное учреждение Республики Адыгея «Адыгейский республиканский центр занятости населения» и его филиалы (далее – ГКУ Республики Адыгея «АРЦЗН» и его филиалы) посредством Единой цифровой платформы.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Профилактические мероприятия осуществлялись в отношении работодателей, которым установленна квота для приема на работу инвалидов.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Всего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было проведено 46 мероприятий профилактического характера.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В течение 2025 года в соответствии со статьей 49 Федерального закона    № 2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48-ФЗ УГСЗН Республики Адыгея объявлено 13 предостережений о недопустимости нарушения обязательных требований работодателям, допустившим нарушения обязательных требований в части непредставления или несвоевременного представления отчета о выполнении квоты.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В 2025 году УГСЗН Республики Адыгея проведено 8 профилактических визитов по инициативе контролируемых лиц, из которых 7 проведены посредством мобильного приложения «Инспектор».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 Всеми контролируемыми лицами пройден опрос по результатам проведения профилактических визитов («обратная связь»).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В ходе проведения профилактических визитов работодатели проинформированы об обязательных требованиях, предъявляемых к их деятельности, соответствии критерия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2025 году УГСЗН Республики Адыгея проведено 10 консультаций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по обращениям контролируемых лиц. Консультации проводились с целью разъяснения обязательных требований и порядка их соблюдения, что способствовало повышению уровня правовой грамотности и снижению числа нарушений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. Данная работа осуществляется непрерывно на постоянной основе.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УГСЗН Республики Адыгея в полном объеме реализованы мероприятия по информированию контролируемых лиц и иных заинтересованных лиц по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вопросам, связанным с исполнением обязательных требований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. Так, на официальном сайте УГСЗН Республики Адыгея размещена вся необходимая информация (материалы), которая актуализируется по мере необходимости; в 2025 году было размещено </w:t>
      </w:r>
      <w:r>
        <w:rPr>
          <w:rFonts w:ascii="&quot;Times New Roman&quot;" w:hAnsi="&quot;Times New Roman&quot;" w:eastAsia="&quot;Times New Roman&quot;" w:cs="&quot;Times New Roman&quot;"/>
          <w:b w:val="0"/>
          <w:bCs w:val="0"/>
          <w:sz w:val="28"/>
          <w:szCs w:val="28"/>
        </w:rPr>
        <w:t xml:space="preserve">1</w:t>
      </w:r>
      <w:r>
        <w:rPr>
          <w:rFonts w:ascii="&quot;Times New Roman&quot;" w:hAnsi="&quot;Times New Roman&quot;" w:eastAsia="&quot;Times New Roman&quot;" w:cs="&quot;Times New Roman&quot;"/>
          <w:b w:val="0"/>
          <w:bCs w:val="0"/>
          <w:sz w:val="28"/>
          <w:szCs w:val="28"/>
        </w:rPr>
        <w:t xml:space="preserve">4 информационных публикаций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 о порядке соб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</w:rPr>
        <w:t xml:space="preserve">людения обязательных требований на официальном сайте УГСЗН Республики Адыгея, в социальных сетях, средствах массовой информации, в ходе проведения публичных слушаний. Это позволило обеспечить доступность информации для широкого круга граждан и организаций.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Вопрос «О мерах, направленных на содействие трудоустройству инвалидов в Республике Адыгея» обсудили в марте, июне, октябре, декабре 2025 года на заседании трехсторонней комиссии Республики Адыгея по регулированию социаль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но-трудовых отношений.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Мониторинг нарушений требований законодательства в сфере занятости населения со стор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оны работодателей осуществляется ГКУ Республики Адыгея «АРЦЗН» и его филиалами на постоянной основе. Информация о нарушениях, выявленных в ходе мониторинга (служебные записки), направляется в УГСЗН Республики Адыгея для дальнейшей профилактической работы.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УГСЗН Республики Адыгея в 2025 году осуществлялось адресное информирование работодателей о выполнении обязательных требований (направлено 28 информационных писем по полученным служебным запискам).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Также специалистами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ГКУ Республики Адыгея «АРЦЗН» и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его филиалов, курирующими работодателей, на постоянной основе организована работа по персональному информированию и консультированию каждого работодателя, не выполняющего установленную квоту, о возможности заключения соглашения о трудоустройстве инвалидов.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рамках реализации комплекса мероприятий, предусмотренных Концепци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ей совершенствования контрольной (надзорной) деятельности до 2026 года, утвержденной распоряжением Правительства Российской Федерации от 21 декабря 2023 года № 3745-р, УГСЗН Республики Адыгея приняты необходимые меры по цифровизации надзорной деятельности: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numPr>
          <w:ilvl w:val="0"/>
          <w:numId w:val="43"/>
        </w:numPr>
        <w:contextualSpacing/>
        <w:ind w:left="0"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обеспечено использование государственных информационных систем в практической работе (ГИС ТОР КНД, ЕРКНМ, ЕРВК, РОТ), </w:t>
      </w:r>
      <w:r>
        <w:rPr>
          <w:color w:val="000000" w:themeColor="text1"/>
          <w:sz w:val="28"/>
          <w:szCs w:val="28"/>
        </w:rPr>
        <w:t xml:space="preserve">включая подсистему досудебного обжалования</w:t>
      </w:r>
      <w:r>
        <w:rPr>
          <w:rFonts w:ascii="&quot;Times New Roman&quot;" w:hAnsi="&quot;Times New Roman&quot;" w:eastAsia="&quot;Times New Roman&quot;" w:cs="&quot;Times New Roman&quot;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numPr>
          <w:ilvl w:val="0"/>
          <w:numId w:val="43"/>
        </w:numPr>
        <w:contextualSpacing/>
        <w:ind w:left="0"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внесены сведения об обязательных требованиях, проверяемых в рамках регионального государственного контроля (надзора), в реестр обязательных требований (по региональным нормативным правовым актам);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numPr>
          <w:ilvl w:val="0"/>
          <w:numId w:val="43"/>
        </w:numPr>
        <w:contextualSpacing/>
        <w:ind w:left="0"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осуществлен переход к «безбумажному» формированию документов (их подписанию, заполнению данных в едином реестре контрольных (надзорных) мероприятий);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numPr>
          <w:ilvl w:val="0"/>
          <w:numId w:val="43"/>
        </w:numPr>
        <w:contextualSpacing/>
        <w:ind w:left="0"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обеспечено применение в работе приложения «Мобильный инспе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ктор».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 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  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Немаловажное значение придается повышению квалификации специалистов отдела обеспечения государственных гарантий в области содействия занятости, осуществляющие региональный государственный контроль (надзор), на системной основе: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все специалисты отдела прошли повышение квалификации по направлениям контрольно-надзорной деятельности (в 2024 году прошли обучение в АНО ДПО «ЦНТИ «ПРОГРЕСС»).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Кроме того, в 2025 году 100% инсп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екторского состава успешно прошли оценку компетенций на знание норм Федерального закона № 248-ФЗ в системе дистанционного обучения государственной информационной системы на знание базовых требований регулирования сферы контрольной (надзорной) деятельности.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На 1 января 2026 года 345 работодателей обязаны принимать на работу инвалидов в пределах установленной квоты на 810 рабочих местах. Количество занятых рабочих мест фактически составило 726 человек.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2025 году наблюдается стабильный рост количества трудоустроенных инвалидов. Так, количество трудоустроенных инвалидов увеличилось с 703 до 726 человек.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Реализация контрольных (надзорных) мероприятий способствовала улучшению ситуации с исполнением работодателями законодательства о квотировании (доля фактически работающих инвалидов на квотируемых рабочих местах увеличилась с 86,5% до 89,6%). И в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то же время количество работодателей, не выполняющих квоту,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снизилось и составило 47 единиц (было на 01.01.2025 - 60 единиц).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ходе проведенных УГСЗН Республики Адыгея профилактических мероприятий выявлено, что основным нарушением, допускаемым работодателями, является невыполнение квоты, несвоевременное представление информации о выполнении квоты.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Органами службы занятости организована работа по выявлению работодателей, согласных на заключение соглашений о трудоустройстве инвалидов.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органы службы занятости Республики Адыгея обращаются отдельные работодатели, сталкивающиеся со сложностями в подборе инвалидов, соответствующих заявленным ими квалификационным требованиям в части наличия специального образования и (или) опыта работы.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Требования к уровню квалификации и стажу работы претендентов на вакантные рабочие места устанавлива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ются работодателями и указываются в информации, размещаемой на Единой цифровой платформе. Завышенные требования работодателей к профессиональным компетенциям инвалидов и и (или) их физическим возможностям создают дополнительные препятствия к трудоустройств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у людей, имеющих ограничения по здоровью, затрудняют выполнение установленной квоты для приема на работу инвалидов в связи с фактическим отсутствием кандидатов, ищущих работу и подпавших под заявленные профессиональные требования конкретной направленности.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целях надлежащего выполнения квоты (в том числе посредством фактического трудоустройства работников) как и прежде основной рекомендацией работодателям остается принятие решений о подборе работника – инвалида с учетом состояния рынка труда.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При этом работодатели в целях выполнения установленной квоты для приема на работу инвалидов вправе обращаться в ГКУ Республики Адыгея «АРЦЗН» и его филиалы. В этом случае работодателям органами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службы занятости будет оказано содействие в подборе на вакантные рабочие места работников из числа инвалидов, в расчете квоты, а также реализации иных мер, предусмотренных законодательством о занятости населения и направленных на трудоустройство инвалидов.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 случае невозможности подбора работника в связи с отсутствием на регистрационном учете граждан, соответствующих заявленным требованиям, работодателям дается консультация о заключении соглашения о выполнении квоты.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Также нарушения обязательных требований продолжают встр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ечаться в деятельности работодателей, несмотря на активную информационно-разъяснительную кампанию, проводимую органами службы занятости Республики Адыгея на постоянной основе в целях доведения до работодателей сведений о содержании обязательных требований.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Основной рекомендацией для работодателей, направленной на снижение риска причинения вреда (ущерба) охраняемым законом интересам, является обращение в органы службы занятости за консультациями по возникающим вопросам.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Вместе с тем, имеется необходимость усиления индивидуальной профилактической работы, проводимой УГСЗН Республики Адыгея с работодателями в рамках непосредственного контакта. Такая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практика взаимодействия с работодателями, прежде всего с кадровыми сотрудниками, непосредственно занятыми работой по внедрению в деятельность организации обязательных требований, реализуется посредством проведения профилактических визитов к работодателям.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Представляется, что усиление индивидуальной профилактической работы в рамках профилактических визитов в дальнейшем снимет оставшиеся вопросы в применении обязательных требований у конкретных работодателей, повысит уровень их правовой грамотности.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right="0" w:firstLine="720"/>
        <w:jc w:val="both"/>
        <w:spacing w:line="240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suppressLineNumbers w:val="0"/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Одинаковое понимание обязательных требований законодательства у всех участников контрольно-надзорной деятельности и их внедрение в конкретной организации д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олжны обеспечить, с одной стороны, достижение конкретной цели института квотирования – трудоустройство инвалида, испытывающего сложности в поиске работы, а с другой  – сделать это с учетом сохранения интересов создания и функционирования этой организации.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60"/>
        <w:contextualSpacing/>
        <w:ind w:firstLine="720"/>
        <w:jc w:val="both"/>
        <w:spacing w:line="257" w:lineRule="auto"/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pP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  <w:t xml:space="preserve">  </w:t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  <w:r>
        <w:rPr>
          <w:rFonts w:ascii="&quot;Times New Roman&quot;" w:hAnsi="&quot;Times New Roman&quot;" w:eastAsia="&quot;Times New Roman&quot;" w:cs="&quot;Times New Roman&quot;"/>
          <w:sz w:val="28"/>
          <w:szCs w:val="28"/>
          <w:highlight w:val="none"/>
        </w:rPr>
      </w:r>
    </w:p>
    <w:p>
      <w:pPr>
        <w:pStyle w:val="1053"/>
        <w:ind w:left="709" w:right="501"/>
        <w:jc w:val="center"/>
        <w:tabs>
          <w:tab w:val="left" w:pos="709" w:leader="none"/>
        </w:tabs>
        <w:rPr>
          <w:b w:val="0"/>
          <w:i/>
        </w:rPr>
      </w:pPr>
      <w:r>
        <w:rPr>
          <w:b/>
          <w:bCs/>
          <w:i/>
        </w:rPr>
        <w:t xml:space="preserve">2.1</w:t>
      </w:r>
      <w:r>
        <w:rPr>
          <w:b/>
          <w:bCs/>
          <w:i/>
        </w:rPr>
        <w:t xml:space="preserve">. Подготовка предложений</w:t>
      </w:r>
      <w:r>
        <w:rPr>
          <w:b/>
          <w:bCs/>
          <w:i/>
          <w:spacing w:val="1"/>
        </w:rPr>
        <w:t xml:space="preserve"> </w:t>
      </w:r>
      <w:r>
        <w:rPr>
          <w:b/>
          <w:bCs/>
          <w:i/>
        </w:rPr>
        <w:t xml:space="preserve">о внесении изменений в законодательство</w:t>
      </w:r>
      <w:r>
        <w:rPr>
          <w:b/>
          <w:bCs/>
          <w:i/>
          <w:spacing w:val="-67"/>
        </w:rPr>
        <w:t xml:space="preserve">                       </w:t>
      </w:r>
      <w:r>
        <w:rPr>
          <w:b/>
          <w:bCs/>
          <w:i/>
        </w:rPr>
        <w:t xml:space="preserve">Российской</w:t>
      </w:r>
      <w:r>
        <w:rPr>
          <w:b/>
          <w:bCs/>
          <w:i/>
          <w:spacing w:val="-3"/>
        </w:rPr>
        <w:t xml:space="preserve"> </w:t>
      </w:r>
      <w:r>
        <w:rPr>
          <w:b/>
          <w:bCs/>
          <w:i/>
        </w:rPr>
        <w:t xml:space="preserve">Федерации</w:t>
      </w:r>
      <w:r>
        <w:rPr>
          <w:b/>
          <w:bCs/>
          <w:i/>
          <w:spacing w:val="-2"/>
        </w:rPr>
        <w:t xml:space="preserve"> </w:t>
      </w:r>
      <w:r>
        <w:rPr>
          <w:b/>
          <w:bCs/>
          <w:i/>
        </w:rPr>
        <w:t xml:space="preserve">о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 xml:space="preserve">государственном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 xml:space="preserve">контроле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 xml:space="preserve">(надзоре)</w:t>
      </w:r>
      <w:r>
        <w:rPr>
          <w:b w:val="0"/>
          <w:i/>
        </w:rPr>
      </w:r>
      <w:r>
        <w:rPr>
          <w:b w:val="0"/>
          <w:i/>
        </w:rPr>
      </w:r>
    </w:p>
    <w:p>
      <w:pPr>
        <w:pStyle w:val="1003"/>
        <w:ind w:firstLine="709"/>
        <w:jc w:val="both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Анализ правопри</w:t>
      </w:r>
      <w:r>
        <w:rPr>
          <w:sz w:val="28"/>
          <w:szCs w:val="28"/>
        </w:rPr>
        <w:t xml:space="preserve">менительной практики деятельности УГСЗН Республики Адыгея при осуществлении контроля (надзора) за приемом на работу инвалидов в пределах установленной квоты позволяет сделать вывод об отсутствии устаревших, дублирующих и избыточных обязательных требований.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 государственном контроле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(надзоре)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отсутствуют.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3"/>
        <w:ind w:firstLine="709"/>
        <w:jc w:val="both"/>
        <w:spacing w:after="0" w:afterAutospacing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jc w:val="both"/>
        <w:spacing w:line="12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52"/>
        <w:tblW w:w="9232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3704"/>
        <w:gridCol w:w="5528"/>
      </w:tblGrid>
      <w:tr>
        <w:tblPrEx/>
        <w:trPr>
          <w:trHeight w:val="954"/>
        </w:trPr>
        <w:tc>
          <w:tcPr>
            <w:tcW w:w="3704" w:type="dxa"/>
            <w:textDirection w:val="lrTb"/>
            <w:noWrap w:val="false"/>
          </w:tcPr>
          <w:p>
            <w:pPr>
              <w:pStyle w:val="1056"/>
              <w:ind w:left="18"/>
              <w:jc w:val="center"/>
              <w:spacing w:line="322" w:lineRule="exact"/>
              <w:rPr>
                <w:rFonts w:cs="Times New Roman"/>
                <w:sz w:val="28"/>
                <w:lang w:val="ru-RU"/>
              </w:rPr>
            </w:pPr>
            <w:r>
              <w:rPr>
                <w:rFonts w:cs="Times New Roman"/>
                <w:sz w:val="28"/>
                <w:lang w:val="ru-RU"/>
              </w:rPr>
              <w:t xml:space="preserve">Начальник отдела о</w:t>
            </w:r>
            <w:r>
              <w:rPr>
                <w:rFonts w:cs="Times New Roman"/>
                <w:sz w:val="28"/>
                <w:lang w:val="ru-RU"/>
              </w:rPr>
              <w:t xml:space="preserve">беспечения государственных гарантий в области содействия занятости населения</w:t>
            </w:r>
            <w:r>
              <w:rPr>
                <w:rFonts w:cs="Times New Roman"/>
                <w:sz w:val="28"/>
                <w:lang w:val="ru-RU"/>
              </w:rPr>
            </w:r>
            <w:r>
              <w:rPr>
                <w:rFonts w:cs="Times New Roman"/>
                <w:sz w:val="28"/>
                <w:lang w:val="ru-RU"/>
              </w:rPr>
            </w:r>
          </w:p>
        </w:tc>
        <w:tc>
          <w:tcPr>
            <w:tcW w:w="5528" w:type="dxa"/>
            <w:vAlign w:val="bottom"/>
            <w:textDirection w:val="lrTb"/>
            <w:noWrap w:val="false"/>
          </w:tcPr>
          <w:p>
            <w:pPr>
              <w:pStyle w:val="1056"/>
              <w:jc w:val="right"/>
              <w:rPr>
                <w:rFonts w:cs="Times New Roman"/>
                <w:sz w:val="30"/>
                <w:lang w:val="ru-RU"/>
              </w:rPr>
            </w:pPr>
            <w:r>
              <w:rPr>
                <w:rFonts w:cs="Times New Roman"/>
                <w:sz w:val="30"/>
                <w:lang w:val="ru-RU"/>
              </w:rPr>
            </w:r>
            <w:r>
              <w:rPr>
                <w:rFonts w:cs="Times New Roman"/>
                <w:sz w:val="30"/>
                <w:lang w:val="ru-RU"/>
              </w:rPr>
            </w:r>
            <w:r>
              <w:rPr>
                <w:rFonts w:cs="Times New Roman"/>
                <w:sz w:val="30"/>
                <w:lang w:val="ru-RU"/>
              </w:rPr>
            </w:r>
          </w:p>
          <w:p>
            <w:pPr>
              <w:pStyle w:val="1056"/>
              <w:jc w:val="right"/>
              <w:rPr>
                <w:rFonts w:cs="Times New Roman"/>
                <w:sz w:val="25"/>
                <w:lang w:val="ru-RU"/>
              </w:rPr>
            </w:pPr>
            <w:r>
              <w:rPr>
                <w:rFonts w:cs="Times New Roman"/>
                <w:sz w:val="25"/>
                <w:lang w:val="ru-RU"/>
              </w:rPr>
            </w:r>
            <w:r>
              <w:rPr>
                <w:rFonts w:cs="Times New Roman"/>
                <w:sz w:val="25"/>
                <w:lang w:val="ru-RU"/>
              </w:rPr>
            </w:r>
            <w:r>
              <w:rPr>
                <w:rFonts w:cs="Times New Roman"/>
                <w:sz w:val="25"/>
                <w:lang w:val="ru-RU"/>
              </w:rPr>
            </w:r>
          </w:p>
          <w:p>
            <w:pPr>
              <w:pStyle w:val="1056"/>
              <w:ind w:left="2147"/>
              <w:jc w:val="right"/>
              <w:spacing w:line="302" w:lineRule="exac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  <w:lang w:val="ru-RU"/>
              </w:rPr>
              <w:t xml:space="preserve">Н</w:t>
            </w:r>
            <w:r>
              <w:rPr>
                <w:rFonts w:cs="Times New Roman"/>
                <w:sz w:val="28"/>
              </w:rPr>
              <w:t xml:space="preserve">.</w:t>
            </w:r>
            <w:r>
              <w:rPr>
                <w:rFonts w:cs="Times New Roman"/>
                <w:sz w:val="28"/>
                <w:lang w:val="ru-RU"/>
              </w:rPr>
              <w:t xml:space="preserve">П</w:t>
            </w:r>
            <w:r>
              <w:rPr>
                <w:rFonts w:cs="Times New Roman"/>
                <w:sz w:val="28"/>
              </w:rPr>
              <w:t xml:space="preserve">.</w:t>
            </w:r>
            <w:r>
              <w:rPr>
                <w:rFonts w:cs="Times New Roman"/>
                <w:spacing w:val="-2"/>
                <w:sz w:val="28"/>
              </w:rPr>
              <w:t xml:space="preserve"> </w:t>
            </w:r>
            <w:r>
              <w:rPr>
                <w:rFonts w:cs="Times New Roman"/>
                <w:spacing w:val="-2"/>
                <w:sz w:val="28"/>
                <w:lang w:val="ru-RU"/>
              </w:rPr>
              <w:t xml:space="preserve">Калита</w:t>
            </w:r>
            <w:r>
              <w:rPr>
                <w:rFonts w:cs="Times New Roman"/>
                <w:sz w:val="28"/>
              </w:rPr>
            </w:r>
            <w:r>
              <w:rPr>
                <w:rFonts w:cs="Times New Roman"/>
                <w:sz w:val="28"/>
              </w:rPr>
            </w:r>
          </w:p>
        </w:tc>
      </w:tr>
    </w:tbl>
    <w:p>
      <w:pPr>
        <w:rPr>
          <w:rStyle w:val="1050"/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rStyle w:val="1050"/>
          <w:b w:val="0"/>
          <w:sz w:val="28"/>
          <w:szCs w:val="28"/>
        </w:rPr>
      </w:r>
      <w:r>
        <w:rPr>
          <w:rStyle w:val="1050"/>
          <w:b w:val="0"/>
          <w:sz w:val="28"/>
          <w:szCs w:val="28"/>
        </w:rPr>
      </w:r>
    </w:p>
    <w:p>
      <w:pPr>
        <w:pStyle w:val="996"/>
        <w:ind w:left="0"/>
        <w:jc w:val="both"/>
        <w:spacing w:after="0" w:line="240" w:lineRule="auto"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361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quot;Times New Roman&amp;quot;">
    <w:panose1 w:val="02000603000000000000"/>
  </w:font>
  <w:font w:name="Lucida Sans Unicode">
    <w:panose1 w:val="020B0603030804020204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8846657"/>
      <w:docPartObj>
        <w:docPartGallery w:val="Page Numbers (Top of Page)"/>
        <w:docPartUnique w:val="true"/>
      </w:docPartObj>
      <w:rPr/>
    </w:sdtPr>
    <w:sdtContent>
      <w:p>
        <w:pPr>
          <w:pStyle w:val="1027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18</w:t>
        </w:r>
        <w:r>
          <w:rPr>
            <w:sz w:val="20"/>
          </w:rPr>
          <w:fldChar w:fldCharType="end"/>
        </w:r>
        <w:r>
          <w:rPr>
            <w:sz w:val="20"/>
          </w:rPr>
        </w:r>
        <w:r>
          <w:rPr>
            <w:sz w:val="20"/>
          </w:rPr>
        </w:r>
      </w:p>
    </w:sdtContent>
  </w:sdt>
  <w:p>
    <w:pPr>
      <w:pStyle w:val="10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2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2" w:hanging="356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35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35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35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35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35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35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35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35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2" w:hanging="393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39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3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3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3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3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3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3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39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2" w:hanging="32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32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32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32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32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32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32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32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32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suff w:val="tab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2" w:hanging="403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40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40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40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40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40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40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40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40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left"/>
      <w:pPr>
        <w:ind w:left="992" w:hanging="283"/>
      </w:pPr>
      <w:rPr>
        <w:rFonts w:hint="default" w:ascii="Times New Roman" w:hAnsi="Times New Roman" w:cs="Times New Roman"/>
        <w:b w:val="0"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308" w:hanging="492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3308" w:hanging="492"/>
        <w:jc w:val="right"/>
      </w:pPr>
      <w:rPr>
        <w:rFonts w:hint="default" w:ascii="Times New Roman" w:hAnsi="Times New Roman" w:eastAsia="Times New Roman" w:cs="Times New Roman"/>
        <w:b/>
        <w:bCs/>
        <w:spacing w:val="-1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262" w:hanging="350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34" w:hanging="35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601" w:hanging="35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368" w:hanging="35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35" w:hanging="35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02" w:hanging="35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69" w:hanging="35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5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2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5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2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6871" w:hanging="12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51" w:hanging="120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051" w:hanging="120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146" w:hanging="444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88" w:hanging="44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82" w:hanging="44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77" w:hanging="44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71" w:hanging="44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366" w:hanging="44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360" w:hanging="44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354" w:hanging="44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49" w:hanging="44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isLgl w:val="false"/>
      <w:suff w:val="tab"/>
      <w:lvlText w:val="%2.1"/>
      <w:lvlJc w:val="left"/>
      <w:pPr>
        <w:ind w:left="1894" w:hanging="1185"/>
      </w:pPr>
      <w:rPr>
        <w:rFonts w:hint="default"/>
        <w:b w:val="0"/>
        <w:i/>
      </w:rPr>
    </w:lvl>
    <w:lvl w:ilvl="2">
      <w:start w:val="1"/>
      <w:numFmt w:val="decimal"/>
      <w:isLgl w:val="false"/>
      <w:suff w:val="tab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62" w:hanging="612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6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6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6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6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6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6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6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612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2" w:hanging="403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40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40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40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40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40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40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40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40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9" w:hanging="708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81" w:hanging="493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1" w:hanging="4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3" w:hanging="4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14" w:hanging="4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46" w:hanging="4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7" w:hanging="4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09" w:hanging="4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40" w:hanging="493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2" w:hanging="382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4" w:hanging="38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48" w:hanging="38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3" w:hanging="38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38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2" w:hanging="38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6" w:hanging="38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0" w:hanging="38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5" w:hanging="382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5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2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2"/>
  </w:num>
  <w:num w:numId="5">
    <w:abstractNumId w:val="17"/>
  </w:num>
  <w:num w:numId="6">
    <w:abstractNumId w:val="25"/>
    <w:lvlOverride w:ilvl="0">
      <w:startOverride w:val="1"/>
    </w:lvlOverride>
  </w:num>
  <w:num w:numId="7">
    <w:abstractNumId w:val="10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18"/>
  </w:num>
  <w:num w:numId="13">
    <w:abstractNumId w:val="28"/>
  </w:num>
  <w:num w:numId="14">
    <w:abstractNumId w:val="15"/>
  </w:num>
  <w:num w:numId="15">
    <w:abstractNumId w:val="13"/>
  </w:num>
  <w:num w:numId="16">
    <w:abstractNumId w:val="30"/>
  </w:num>
  <w:num w:numId="17">
    <w:abstractNumId w:val="3"/>
  </w:num>
  <w:num w:numId="18">
    <w:abstractNumId w:val="5"/>
  </w:num>
  <w:num w:numId="19">
    <w:abstractNumId w:val="24"/>
  </w:num>
  <w:num w:numId="20">
    <w:abstractNumId w:val="11"/>
  </w:num>
  <w:num w:numId="21">
    <w:abstractNumId w:val="26"/>
  </w:num>
  <w:num w:numId="22">
    <w:abstractNumId w:val="29"/>
  </w:num>
  <w:num w:numId="23">
    <w:abstractNumId w:val="20"/>
  </w:num>
  <w:num w:numId="24">
    <w:abstractNumId w:val="27"/>
  </w:num>
  <w:num w:numId="25">
    <w:abstractNumId w:val="4"/>
  </w:num>
  <w:num w:numId="26">
    <w:abstractNumId w:val="9"/>
  </w:num>
  <w:num w:numId="27">
    <w:abstractNumId w:val="22"/>
  </w:num>
  <w:num w:numId="28">
    <w:abstractNumId w:val="8"/>
  </w:num>
  <w:num w:numId="29">
    <w:abstractNumId w:val="21"/>
  </w:num>
  <w:num w:numId="30">
    <w:abstractNumId w:val="19"/>
  </w:num>
  <w:num w:numId="31">
    <w:abstractNumId w:val="16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8">
    <w:name w:val="Heading 1 Char"/>
    <w:basedOn w:val="990"/>
    <w:link w:val="1053"/>
    <w:uiPriority w:val="9"/>
    <w:rPr>
      <w:rFonts w:ascii="Arial" w:hAnsi="Arial" w:eastAsia="Arial" w:cs="Arial"/>
      <w:sz w:val="40"/>
      <w:szCs w:val="40"/>
    </w:rPr>
  </w:style>
  <w:style w:type="character" w:styleId="819">
    <w:name w:val="Heading 2 Char"/>
    <w:basedOn w:val="990"/>
    <w:link w:val="986"/>
    <w:uiPriority w:val="9"/>
    <w:rPr>
      <w:rFonts w:ascii="Arial" w:hAnsi="Arial" w:eastAsia="Arial" w:cs="Arial"/>
      <w:sz w:val="34"/>
    </w:rPr>
  </w:style>
  <w:style w:type="character" w:styleId="820">
    <w:name w:val="Heading 3 Char"/>
    <w:basedOn w:val="990"/>
    <w:link w:val="987"/>
    <w:uiPriority w:val="9"/>
    <w:rPr>
      <w:rFonts w:ascii="Arial" w:hAnsi="Arial" w:eastAsia="Arial" w:cs="Arial"/>
      <w:sz w:val="30"/>
      <w:szCs w:val="30"/>
    </w:rPr>
  </w:style>
  <w:style w:type="paragraph" w:styleId="821">
    <w:name w:val="Heading 4"/>
    <w:basedOn w:val="984"/>
    <w:next w:val="984"/>
    <w:link w:val="8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2">
    <w:name w:val="Heading 4 Char"/>
    <w:basedOn w:val="990"/>
    <w:link w:val="821"/>
    <w:uiPriority w:val="9"/>
    <w:rPr>
      <w:rFonts w:ascii="Arial" w:hAnsi="Arial" w:eastAsia="Arial" w:cs="Arial"/>
      <w:b/>
      <w:bCs/>
      <w:sz w:val="26"/>
      <w:szCs w:val="26"/>
    </w:rPr>
  </w:style>
  <w:style w:type="character" w:styleId="823">
    <w:name w:val="Heading 5 Char"/>
    <w:basedOn w:val="990"/>
    <w:link w:val="988"/>
    <w:uiPriority w:val="9"/>
    <w:rPr>
      <w:rFonts w:ascii="Arial" w:hAnsi="Arial" w:eastAsia="Arial" w:cs="Arial"/>
      <w:b/>
      <w:bCs/>
      <w:sz w:val="24"/>
      <w:szCs w:val="24"/>
    </w:rPr>
  </w:style>
  <w:style w:type="paragraph" w:styleId="824">
    <w:name w:val="Heading 6"/>
    <w:basedOn w:val="984"/>
    <w:next w:val="984"/>
    <w:link w:val="8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5">
    <w:name w:val="Heading 6 Char"/>
    <w:basedOn w:val="990"/>
    <w:link w:val="824"/>
    <w:uiPriority w:val="9"/>
    <w:rPr>
      <w:rFonts w:ascii="Arial" w:hAnsi="Arial" w:eastAsia="Arial" w:cs="Arial"/>
      <w:b/>
      <w:bCs/>
      <w:sz w:val="22"/>
      <w:szCs w:val="22"/>
    </w:rPr>
  </w:style>
  <w:style w:type="paragraph" w:styleId="826">
    <w:name w:val="Heading 7"/>
    <w:basedOn w:val="984"/>
    <w:next w:val="984"/>
    <w:link w:val="8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7">
    <w:name w:val="Heading 7 Char"/>
    <w:basedOn w:val="990"/>
    <w:link w:val="8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8">
    <w:name w:val="Heading 8"/>
    <w:basedOn w:val="984"/>
    <w:next w:val="984"/>
    <w:link w:val="8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9">
    <w:name w:val="Heading 8 Char"/>
    <w:basedOn w:val="990"/>
    <w:link w:val="828"/>
    <w:uiPriority w:val="9"/>
    <w:rPr>
      <w:rFonts w:ascii="Arial" w:hAnsi="Arial" w:eastAsia="Arial" w:cs="Arial"/>
      <w:i/>
      <w:iCs/>
      <w:sz w:val="22"/>
      <w:szCs w:val="22"/>
    </w:rPr>
  </w:style>
  <w:style w:type="character" w:styleId="830">
    <w:name w:val="Heading 9 Char"/>
    <w:basedOn w:val="990"/>
    <w:link w:val="989"/>
    <w:uiPriority w:val="9"/>
    <w:rPr>
      <w:rFonts w:ascii="Arial" w:hAnsi="Arial" w:eastAsia="Arial" w:cs="Arial"/>
      <w:i/>
      <w:iCs/>
      <w:sz w:val="21"/>
      <w:szCs w:val="21"/>
    </w:rPr>
  </w:style>
  <w:style w:type="character" w:styleId="831">
    <w:name w:val="Title Char"/>
    <w:basedOn w:val="990"/>
    <w:link w:val="1054"/>
    <w:uiPriority w:val="10"/>
    <w:rPr>
      <w:sz w:val="48"/>
      <w:szCs w:val="48"/>
    </w:rPr>
  </w:style>
  <w:style w:type="paragraph" w:styleId="832">
    <w:name w:val="Subtitle"/>
    <w:basedOn w:val="984"/>
    <w:next w:val="984"/>
    <w:link w:val="833"/>
    <w:uiPriority w:val="11"/>
    <w:qFormat/>
    <w:pPr>
      <w:spacing w:before="200" w:after="200"/>
    </w:pPr>
    <w:rPr>
      <w:sz w:val="24"/>
      <w:szCs w:val="24"/>
    </w:rPr>
  </w:style>
  <w:style w:type="character" w:styleId="833">
    <w:name w:val="Subtitle Char"/>
    <w:basedOn w:val="990"/>
    <w:link w:val="832"/>
    <w:uiPriority w:val="11"/>
    <w:rPr>
      <w:sz w:val="24"/>
      <w:szCs w:val="24"/>
    </w:rPr>
  </w:style>
  <w:style w:type="paragraph" w:styleId="834">
    <w:name w:val="Quote"/>
    <w:basedOn w:val="984"/>
    <w:next w:val="984"/>
    <w:link w:val="835"/>
    <w:uiPriority w:val="29"/>
    <w:qFormat/>
    <w:pPr>
      <w:ind w:left="720" w:right="720"/>
    </w:pPr>
    <w:rPr>
      <w:i/>
    </w:rPr>
  </w:style>
  <w:style w:type="character" w:styleId="835">
    <w:name w:val="Quote Char"/>
    <w:link w:val="834"/>
    <w:uiPriority w:val="29"/>
    <w:rPr>
      <w:i/>
    </w:rPr>
  </w:style>
  <w:style w:type="paragraph" w:styleId="836">
    <w:name w:val="Intense Quote"/>
    <w:basedOn w:val="984"/>
    <w:next w:val="984"/>
    <w:link w:val="8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7">
    <w:name w:val="Intense Quote Char"/>
    <w:link w:val="836"/>
    <w:uiPriority w:val="30"/>
    <w:rPr>
      <w:i/>
    </w:rPr>
  </w:style>
  <w:style w:type="character" w:styleId="838">
    <w:name w:val="Header Char"/>
    <w:basedOn w:val="990"/>
    <w:link w:val="1027"/>
    <w:uiPriority w:val="99"/>
  </w:style>
  <w:style w:type="character" w:styleId="839">
    <w:name w:val="Footer Char"/>
    <w:basedOn w:val="990"/>
    <w:link w:val="1029"/>
    <w:uiPriority w:val="99"/>
  </w:style>
  <w:style w:type="paragraph" w:styleId="840">
    <w:name w:val="Caption"/>
    <w:basedOn w:val="984"/>
    <w:next w:val="984"/>
    <w:link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1">
    <w:name w:val="Caption Char"/>
    <w:basedOn w:val="990"/>
    <w:link w:val="840"/>
    <w:uiPriority w:val="35"/>
    <w:rPr>
      <w:b/>
      <w:bCs/>
      <w:color w:val="4f81bd" w:themeColor="accent1"/>
      <w:sz w:val="18"/>
      <w:szCs w:val="18"/>
    </w:rPr>
  </w:style>
  <w:style w:type="table" w:styleId="842">
    <w:name w:val="Table Grid Light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Plain Table 1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2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5">
    <w:name w:val="Plain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6">
    <w:name w:val="Plain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Plain Table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8">
    <w:name w:val="Grid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0">
    <w:name w:val="Grid Table 4 - Accent 1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1">
    <w:name w:val="Grid Table 4 - Accent 2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Grid Table 4 - Accent 3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3">
    <w:name w:val="Grid Table 4 - Accent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Grid Table 4 - Accent 5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5">
    <w:name w:val="Grid Table 4 - Accent 6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6">
    <w:name w:val="Grid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7">
    <w:name w:val="Grid Table 5 Dark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8">
    <w:name w:val="Grid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0">
    <w:name w:val="Grid Table 5 Dark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1">
    <w:name w:val="Grid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2">
    <w:name w:val="Grid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3">
    <w:name w:val="Grid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4">
    <w:name w:val="Grid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5">
    <w:name w:val="Grid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6">
    <w:name w:val="Grid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7">
    <w:name w:val="Grid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8">
    <w:name w:val="Grid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9">
    <w:name w:val="Grid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0">
    <w:name w:val="Grid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5">
    <w:name w:val="List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6">
    <w:name w:val="List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7">
    <w:name w:val="List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8">
    <w:name w:val="List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9">
    <w:name w:val="List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0">
    <w:name w:val="List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1">
    <w:name w:val="List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5 Dark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9">
    <w:name w:val="List Table 5 Dark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3">
    <w:name w:val="List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4">
    <w:name w:val="List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5">
    <w:name w:val="List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6">
    <w:name w:val="List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7">
    <w:name w:val="List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8">
    <w:name w:val="List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9">
    <w:name w:val="List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0">
    <w:name w:val="List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1">
    <w:name w:val="List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2">
    <w:name w:val="List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3">
    <w:name w:val="List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4">
    <w:name w:val="List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5">
    <w:name w:val="List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6">
    <w:name w:val="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7">
    <w:name w:val="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8">
    <w:name w:val="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9">
    <w:name w:val="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0">
    <w:name w:val="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1">
    <w:name w:val="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2">
    <w:name w:val="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3">
    <w:name w:val="Bordered &amp; 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4">
    <w:name w:val="Bordered &amp; 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5">
    <w:name w:val="Bordered &amp; 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6">
    <w:name w:val="Bordered &amp; 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7">
    <w:name w:val="Bordered &amp; 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8">
    <w:name w:val="Bordered &amp; 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9">
    <w:name w:val="Bordered &amp; 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0">
    <w:name w:val="Bordered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1">
    <w:name w:val="Bordered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2">
    <w:name w:val="Bordered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3">
    <w:name w:val="Bordered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4">
    <w:name w:val="Bordered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5">
    <w:name w:val="Bordered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6">
    <w:name w:val="Bordered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67">
    <w:name w:val="footnote text"/>
    <w:basedOn w:val="984"/>
    <w:link w:val="968"/>
    <w:uiPriority w:val="99"/>
    <w:semiHidden/>
    <w:unhideWhenUsed/>
    <w:pPr>
      <w:spacing w:after="40" w:line="240" w:lineRule="auto"/>
    </w:pPr>
    <w:rPr>
      <w:sz w:val="18"/>
    </w:rPr>
  </w:style>
  <w:style w:type="character" w:styleId="968">
    <w:name w:val="Footnote Text Char"/>
    <w:link w:val="967"/>
    <w:uiPriority w:val="99"/>
    <w:rPr>
      <w:sz w:val="18"/>
    </w:rPr>
  </w:style>
  <w:style w:type="character" w:styleId="969">
    <w:name w:val="footnote reference"/>
    <w:basedOn w:val="990"/>
    <w:uiPriority w:val="99"/>
    <w:unhideWhenUsed/>
    <w:rPr>
      <w:vertAlign w:val="superscript"/>
    </w:rPr>
  </w:style>
  <w:style w:type="paragraph" w:styleId="970">
    <w:name w:val="endnote text"/>
    <w:basedOn w:val="984"/>
    <w:link w:val="971"/>
    <w:uiPriority w:val="99"/>
    <w:semiHidden/>
    <w:unhideWhenUsed/>
    <w:pPr>
      <w:spacing w:after="0" w:line="240" w:lineRule="auto"/>
    </w:pPr>
    <w:rPr>
      <w:sz w:val="20"/>
    </w:rPr>
  </w:style>
  <w:style w:type="character" w:styleId="971">
    <w:name w:val="Endnote Text Char"/>
    <w:link w:val="970"/>
    <w:uiPriority w:val="99"/>
    <w:rPr>
      <w:sz w:val="20"/>
    </w:rPr>
  </w:style>
  <w:style w:type="character" w:styleId="972">
    <w:name w:val="endnote reference"/>
    <w:basedOn w:val="990"/>
    <w:uiPriority w:val="99"/>
    <w:semiHidden/>
    <w:unhideWhenUsed/>
    <w:rPr>
      <w:vertAlign w:val="superscript"/>
    </w:rPr>
  </w:style>
  <w:style w:type="paragraph" w:styleId="973">
    <w:name w:val="toc 1"/>
    <w:basedOn w:val="984"/>
    <w:next w:val="984"/>
    <w:uiPriority w:val="39"/>
    <w:unhideWhenUsed/>
    <w:pPr>
      <w:ind w:left="0" w:right="0" w:firstLine="0"/>
      <w:spacing w:after="57"/>
    </w:pPr>
  </w:style>
  <w:style w:type="paragraph" w:styleId="974">
    <w:name w:val="toc 2"/>
    <w:basedOn w:val="984"/>
    <w:next w:val="984"/>
    <w:uiPriority w:val="39"/>
    <w:unhideWhenUsed/>
    <w:pPr>
      <w:ind w:left="283" w:right="0" w:firstLine="0"/>
      <w:spacing w:after="57"/>
    </w:pPr>
  </w:style>
  <w:style w:type="paragraph" w:styleId="975">
    <w:name w:val="toc 3"/>
    <w:basedOn w:val="984"/>
    <w:next w:val="984"/>
    <w:uiPriority w:val="39"/>
    <w:unhideWhenUsed/>
    <w:pPr>
      <w:ind w:left="567" w:right="0" w:firstLine="0"/>
      <w:spacing w:after="57"/>
    </w:pPr>
  </w:style>
  <w:style w:type="paragraph" w:styleId="976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7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8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79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0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1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2">
    <w:name w:val="TOC Heading"/>
    <w:uiPriority w:val="39"/>
    <w:unhideWhenUsed/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pPr>
      <w:ind w:firstLine="709"/>
      <w:jc w:val="both"/>
    </w:pPr>
    <w:rPr>
      <w:rFonts w:ascii="Times New Roman" w:hAnsi="Times New Roman" w:eastAsia="Times New Roman"/>
      <w:sz w:val="24"/>
      <w:szCs w:val="24"/>
    </w:rPr>
  </w:style>
  <w:style w:type="paragraph" w:styleId="985">
    <w:name w:val="Heading 1"/>
    <w:basedOn w:val="984"/>
    <w:next w:val="984"/>
    <w:link w:val="1005"/>
    <w:qFormat/>
    <w:pPr>
      <w:ind w:firstLine="0"/>
      <w:jc w:val="center"/>
      <w:keepNext/>
      <w:tabs>
        <w:tab w:val="num" w:pos="0" w:leader="none"/>
      </w:tabs>
      <w:outlineLvl w:val="0"/>
    </w:pPr>
    <w:rPr>
      <w:b/>
      <w:sz w:val="26"/>
      <w:szCs w:val="20"/>
      <w:lang w:eastAsia="ar-SA"/>
    </w:rPr>
  </w:style>
  <w:style w:type="paragraph" w:styleId="986">
    <w:name w:val="Heading 2"/>
    <w:basedOn w:val="984"/>
    <w:next w:val="984"/>
    <w:link w:val="993"/>
    <w:qFormat/>
    <w:pPr>
      <w:jc w:val="center"/>
      <w:keepNext/>
      <w:spacing w:line="160" w:lineRule="exact"/>
      <w:outlineLvl w:val="1"/>
    </w:pPr>
    <w:rPr>
      <w:i/>
      <w:sz w:val="18"/>
      <w:szCs w:val="20"/>
    </w:rPr>
  </w:style>
  <w:style w:type="paragraph" w:styleId="987">
    <w:name w:val="Heading 3"/>
    <w:basedOn w:val="984"/>
    <w:next w:val="984"/>
    <w:link w:val="1006"/>
    <w:qFormat/>
    <w:pPr>
      <w:ind w:firstLine="0"/>
      <w:jc w:val="left"/>
      <w:keepNext/>
      <w:spacing w:before="240" w:after="60"/>
      <w:tabs>
        <w:tab w:val="num" w:pos="0" w:leader="none"/>
      </w:tabs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88">
    <w:name w:val="Heading 5"/>
    <w:basedOn w:val="984"/>
    <w:next w:val="984"/>
    <w:link w:val="994"/>
    <w:qFormat/>
    <w:pPr>
      <w:jc w:val="center"/>
      <w:keepNext/>
      <w:spacing w:line="240" w:lineRule="atLeast"/>
      <w:outlineLvl w:val="4"/>
    </w:pPr>
    <w:rPr>
      <w:b/>
      <w:sz w:val="18"/>
      <w:szCs w:val="20"/>
    </w:rPr>
  </w:style>
  <w:style w:type="paragraph" w:styleId="989">
    <w:name w:val="Heading 9"/>
    <w:basedOn w:val="984"/>
    <w:next w:val="984"/>
    <w:link w:val="1007"/>
    <w:qFormat/>
    <w:pPr>
      <w:ind w:firstLine="0"/>
      <w:jc w:val="left"/>
      <w:spacing w:before="240" w:after="60"/>
      <w:tabs>
        <w:tab w:val="num" w:pos="0" w:leader="none"/>
      </w:tabs>
      <w:outlineLvl w:val="8"/>
    </w:pPr>
    <w:rPr>
      <w:rFonts w:ascii="Arial" w:hAnsi="Arial" w:cs="Arial"/>
      <w:sz w:val="22"/>
      <w:szCs w:val="22"/>
      <w:lang w:eastAsia="ar-SA"/>
    </w:rPr>
  </w:style>
  <w:style w:type="character" w:styleId="990" w:default="1">
    <w:name w:val="Default Paragraph Font"/>
    <w:uiPriority w:val="1"/>
    <w:semiHidden/>
    <w:unhideWhenUsed/>
  </w:style>
  <w:style w:type="table" w:styleId="99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2" w:default="1">
    <w:name w:val="No List"/>
    <w:uiPriority w:val="99"/>
    <w:semiHidden/>
    <w:unhideWhenUsed/>
  </w:style>
  <w:style w:type="character" w:styleId="993" w:customStyle="1">
    <w:name w:val="Заголовок 2 Знак"/>
    <w:link w:val="986"/>
    <w:rPr>
      <w:rFonts w:ascii="Times New Roman" w:hAnsi="Times New Roman" w:eastAsia="Times New Roman" w:cs="Times New Roman"/>
      <w:i/>
      <w:sz w:val="18"/>
      <w:szCs w:val="20"/>
      <w:lang w:eastAsia="ru-RU"/>
    </w:rPr>
  </w:style>
  <w:style w:type="character" w:styleId="994" w:customStyle="1">
    <w:name w:val="Заголовок 5 Знак"/>
    <w:link w:val="988"/>
    <w:rPr>
      <w:rFonts w:ascii="Times New Roman" w:hAnsi="Times New Roman" w:eastAsia="Times New Roman" w:cs="Times New Roman"/>
      <w:b/>
      <w:sz w:val="18"/>
      <w:szCs w:val="20"/>
      <w:lang w:eastAsia="ru-RU"/>
    </w:rPr>
  </w:style>
  <w:style w:type="paragraph" w:styleId="995" w:customStyle="1">
    <w:name w:val="ConsPlusNormal"/>
    <w:pPr>
      <w:ind w:firstLine="720"/>
      <w:jc w:val="both"/>
    </w:pPr>
    <w:rPr>
      <w:rFonts w:ascii="Arial" w:hAnsi="Arial" w:eastAsia="Times New Roman" w:cs="Arial"/>
    </w:rPr>
  </w:style>
  <w:style w:type="paragraph" w:styleId="996">
    <w:name w:val="List Paragraph"/>
    <w:basedOn w:val="984"/>
    <w:uiPriority w:val="34"/>
    <w:qFormat/>
    <w:pPr>
      <w:contextualSpacing/>
      <w:ind w:left="720" w:firstLine="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7">
    <w:name w:val="No Spacing"/>
    <w:uiPriority w:val="1"/>
    <w:qFormat/>
    <w:pPr>
      <w:ind w:left="709"/>
      <w:jc w:val="both"/>
    </w:pPr>
    <w:rPr>
      <w:sz w:val="22"/>
      <w:szCs w:val="22"/>
      <w:lang w:eastAsia="en-US"/>
    </w:rPr>
  </w:style>
  <w:style w:type="paragraph" w:styleId="998">
    <w:name w:val="Balloon Text"/>
    <w:basedOn w:val="984"/>
    <w:link w:val="999"/>
    <w:uiPriority w:val="99"/>
    <w:semiHidden/>
    <w:unhideWhenUsed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990"/>
    <w:link w:val="998"/>
    <w:uiPriority w:val="99"/>
    <w:semiHidden/>
    <w:rPr>
      <w:rFonts w:ascii="Tahoma" w:hAnsi="Tahoma" w:eastAsia="Times New Roman" w:cs="Tahoma"/>
      <w:sz w:val="16"/>
      <w:szCs w:val="16"/>
    </w:rPr>
  </w:style>
  <w:style w:type="table" w:styleId="1000">
    <w:name w:val="Table Grid"/>
    <w:basedOn w:val="991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1" w:customStyle="1">
    <w:name w:val="ConsPlusNonformat"/>
    <w:uiPriority w:val="99"/>
    <w:pPr>
      <w:ind w:firstLine="697"/>
      <w:jc w:val="both"/>
      <w:widowControl w:val="off"/>
    </w:pPr>
    <w:rPr>
      <w:rFonts w:ascii="Courier New" w:hAnsi="Courier New" w:eastAsia="Times New Roman" w:cs="Courier New"/>
    </w:rPr>
  </w:style>
  <w:style w:type="character" w:styleId="1002" w:customStyle="1">
    <w:name w:val="WW8Num5z0"/>
    <w:rPr>
      <w:rFonts w:ascii="Times New Roman" w:hAnsi="Times New Roman" w:cs="Times New Roman"/>
    </w:rPr>
  </w:style>
  <w:style w:type="paragraph" w:styleId="1003">
    <w:name w:val="Body Text"/>
    <w:basedOn w:val="984"/>
    <w:link w:val="1004"/>
    <w:uiPriority w:val="1"/>
    <w:qFormat/>
    <w:pPr>
      <w:ind w:firstLine="0"/>
      <w:jc w:val="left"/>
      <w:spacing w:after="120"/>
    </w:pPr>
    <w:rPr>
      <w:sz w:val="26"/>
      <w:szCs w:val="20"/>
      <w:lang w:eastAsia="ar-SA"/>
    </w:rPr>
  </w:style>
  <w:style w:type="character" w:styleId="1004" w:customStyle="1">
    <w:name w:val="Основной текст Знак"/>
    <w:basedOn w:val="990"/>
    <w:link w:val="1003"/>
    <w:uiPriority w:val="1"/>
    <w:rPr>
      <w:rFonts w:ascii="Times New Roman" w:hAnsi="Times New Roman" w:eastAsia="Times New Roman"/>
      <w:sz w:val="26"/>
      <w:lang w:eastAsia="ar-SA"/>
    </w:rPr>
  </w:style>
  <w:style w:type="character" w:styleId="1005" w:customStyle="1">
    <w:name w:val="Заголовок 1 Знак"/>
    <w:basedOn w:val="990"/>
    <w:link w:val="985"/>
    <w:rPr>
      <w:rFonts w:ascii="Times New Roman" w:hAnsi="Times New Roman" w:eastAsia="Times New Roman"/>
      <w:b/>
      <w:sz w:val="26"/>
      <w:lang w:eastAsia="ar-SA"/>
    </w:rPr>
  </w:style>
  <w:style w:type="character" w:styleId="1006" w:customStyle="1">
    <w:name w:val="Заголовок 3 Знак"/>
    <w:basedOn w:val="990"/>
    <w:link w:val="987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1007" w:customStyle="1">
    <w:name w:val="Заголовок 9 Знак"/>
    <w:basedOn w:val="990"/>
    <w:link w:val="989"/>
    <w:rPr>
      <w:rFonts w:ascii="Arial" w:hAnsi="Arial" w:eastAsia="Times New Roman" w:cs="Arial"/>
      <w:sz w:val="22"/>
      <w:szCs w:val="22"/>
      <w:lang w:eastAsia="ar-SA"/>
    </w:rPr>
  </w:style>
  <w:style w:type="character" w:styleId="1008" w:customStyle="1">
    <w:name w:val="Absatz-Standardschriftart"/>
  </w:style>
  <w:style w:type="character" w:styleId="1009" w:customStyle="1">
    <w:name w:val="WW-Absatz-Standardschriftart"/>
  </w:style>
  <w:style w:type="character" w:styleId="1010" w:customStyle="1">
    <w:name w:val="WW-Absatz-Standardschriftart1"/>
  </w:style>
  <w:style w:type="character" w:styleId="1011" w:customStyle="1">
    <w:name w:val="WW8Num1z0"/>
    <w:rPr>
      <w:rFonts w:ascii="Symbol" w:hAnsi="Symbol"/>
    </w:rPr>
  </w:style>
  <w:style w:type="character" w:styleId="1012" w:customStyle="1">
    <w:name w:val="WW8Num1z1"/>
    <w:rPr>
      <w:rFonts w:ascii="Courier New" w:hAnsi="Courier New" w:cs="Courier New"/>
    </w:rPr>
  </w:style>
  <w:style w:type="character" w:styleId="1013" w:customStyle="1">
    <w:name w:val="WW8Num1z2"/>
    <w:rPr>
      <w:rFonts w:ascii="Wingdings" w:hAnsi="Wingdings"/>
    </w:rPr>
  </w:style>
  <w:style w:type="character" w:styleId="1014" w:customStyle="1">
    <w:name w:val="WW8Num3z0"/>
    <w:rPr>
      <w:rFonts w:ascii="Times New Roman" w:hAnsi="Times New Roman"/>
      <w:b w:val="0"/>
      <w:i w:val="0"/>
      <w:sz w:val="24"/>
      <w:u w:val="none"/>
    </w:rPr>
  </w:style>
  <w:style w:type="character" w:styleId="1015" w:customStyle="1">
    <w:name w:val="WW8Num4z0"/>
    <w:rPr>
      <w:rFonts w:ascii="Times New Roman" w:hAnsi="Times New Roman" w:cs="Times New Roman"/>
    </w:rPr>
  </w:style>
  <w:style w:type="character" w:styleId="1016" w:customStyle="1">
    <w:name w:val="Основной шрифт абзаца1"/>
  </w:style>
  <w:style w:type="character" w:styleId="1017">
    <w:name w:val="page number"/>
    <w:basedOn w:val="1016"/>
    <w:semiHidden/>
  </w:style>
  <w:style w:type="character" w:styleId="1018" w:customStyle="1">
    <w:name w:val="Символ нумерации"/>
  </w:style>
  <w:style w:type="paragraph" w:styleId="1019" w:customStyle="1">
    <w:name w:val="Заголовок"/>
    <w:basedOn w:val="984"/>
    <w:next w:val="1003"/>
    <w:pPr>
      <w:ind w:firstLine="0"/>
      <w:jc w:val="left"/>
      <w:keepNext/>
      <w:spacing w:before="240" w:after="120"/>
    </w:pPr>
    <w:rPr>
      <w:rFonts w:ascii="Arial" w:hAnsi="Arial" w:eastAsia="Lucida Sans Unicode" w:cs="Tahoma"/>
      <w:sz w:val="28"/>
      <w:szCs w:val="28"/>
      <w:lang w:eastAsia="ar-SA"/>
    </w:rPr>
  </w:style>
  <w:style w:type="paragraph" w:styleId="1020">
    <w:name w:val="List"/>
    <w:basedOn w:val="1003"/>
    <w:semiHidden/>
    <w:rPr>
      <w:rFonts w:ascii="Arial" w:hAnsi="Arial" w:cs="Tahoma"/>
    </w:rPr>
  </w:style>
  <w:style w:type="paragraph" w:styleId="1021" w:customStyle="1">
    <w:name w:val="Название1"/>
    <w:basedOn w:val="984"/>
    <w:pPr>
      <w:ind w:firstLine="0"/>
      <w:jc w:val="left"/>
      <w:spacing w:before="120" w:after="120"/>
      <w:suppressLineNumbers/>
    </w:pPr>
    <w:rPr>
      <w:rFonts w:ascii="Arial" w:hAnsi="Arial" w:cs="Tahoma"/>
      <w:i/>
      <w:iCs/>
      <w:sz w:val="20"/>
      <w:lang w:eastAsia="ar-SA"/>
    </w:rPr>
  </w:style>
  <w:style w:type="paragraph" w:styleId="1022" w:customStyle="1">
    <w:name w:val="Указатель1"/>
    <w:basedOn w:val="984"/>
    <w:pPr>
      <w:ind w:firstLine="0"/>
      <w:jc w:val="left"/>
      <w:suppressLineNumbers/>
    </w:pPr>
    <w:rPr>
      <w:rFonts w:ascii="Arial" w:hAnsi="Arial" w:cs="Tahoma"/>
      <w:sz w:val="26"/>
      <w:szCs w:val="20"/>
      <w:lang w:eastAsia="ar-SA"/>
    </w:rPr>
  </w:style>
  <w:style w:type="paragraph" w:styleId="1023" w:customStyle="1">
    <w:name w:val="Основной текст с отступом 21"/>
    <w:basedOn w:val="984"/>
    <w:pPr>
      <w:ind w:left="7797" w:hanging="7230"/>
    </w:pPr>
    <w:rPr>
      <w:szCs w:val="20"/>
      <w:lang w:eastAsia="ar-SA"/>
    </w:rPr>
  </w:style>
  <w:style w:type="paragraph" w:styleId="1024" w:customStyle="1">
    <w:name w:val="Основной текст с отступом 31"/>
    <w:basedOn w:val="984"/>
    <w:pPr>
      <w:ind w:left="7797" w:hanging="7797"/>
    </w:pPr>
    <w:rPr>
      <w:szCs w:val="20"/>
      <w:lang w:eastAsia="ar-SA"/>
    </w:rPr>
  </w:style>
  <w:style w:type="paragraph" w:styleId="1025">
    <w:name w:val="Body Text Indent"/>
    <w:basedOn w:val="984"/>
    <w:link w:val="1026"/>
    <w:semiHidden/>
    <w:pPr>
      <w:ind w:left="283" w:firstLine="0"/>
      <w:jc w:val="left"/>
      <w:spacing w:after="120"/>
    </w:pPr>
    <w:rPr>
      <w:sz w:val="26"/>
      <w:szCs w:val="20"/>
      <w:lang w:eastAsia="ar-SA"/>
    </w:rPr>
  </w:style>
  <w:style w:type="character" w:styleId="1026" w:customStyle="1">
    <w:name w:val="Основной текст с отступом Знак"/>
    <w:basedOn w:val="990"/>
    <w:link w:val="1025"/>
    <w:semiHidden/>
    <w:rPr>
      <w:rFonts w:ascii="Times New Roman" w:hAnsi="Times New Roman" w:eastAsia="Times New Roman"/>
      <w:sz w:val="26"/>
      <w:lang w:eastAsia="ar-SA"/>
    </w:rPr>
  </w:style>
  <w:style w:type="paragraph" w:styleId="1027">
    <w:name w:val="Header"/>
    <w:basedOn w:val="984"/>
    <w:link w:val="1028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sz w:val="26"/>
      <w:szCs w:val="20"/>
      <w:lang w:eastAsia="ar-SA"/>
    </w:rPr>
  </w:style>
  <w:style w:type="character" w:styleId="1028" w:customStyle="1">
    <w:name w:val="Верхний колонтитул Знак"/>
    <w:basedOn w:val="990"/>
    <w:link w:val="1027"/>
    <w:uiPriority w:val="99"/>
    <w:rPr>
      <w:rFonts w:ascii="Times New Roman" w:hAnsi="Times New Roman" w:eastAsia="Times New Roman"/>
      <w:sz w:val="26"/>
      <w:lang w:eastAsia="ar-SA"/>
    </w:rPr>
  </w:style>
  <w:style w:type="paragraph" w:styleId="1029">
    <w:name w:val="Footer"/>
    <w:basedOn w:val="984"/>
    <w:link w:val="1030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sz w:val="26"/>
      <w:szCs w:val="20"/>
      <w:lang w:eastAsia="ar-SA"/>
    </w:rPr>
  </w:style>
  <w:style w:type="character" w:styleId="1030" w:customStyle="1">
    <w:name w:val="Нижний колонтитул Знак"/>
    <w:basedOn w:val="990"/>
    <w:link w:val="1029"/>
    <w:uiPriority w:val="99"/>
    <w:rPr>
      <w:rFonts w:ascii="Times New Roman" w:hAnsi="Times New Roman" w:eastAsia="Times New Roman"/>
      <w:sz w:val="26"/>
      <w:lang w:eastAsia="ar-SA"/>
    </w:rPr>
  </w:style>
  <w:style w:type="paragraph" w:styleId="1031" w:customStyle="1">
    <w:name w:val="Содержимое таблицы"/>
    <w:basedOn w:val="984"/>
    <w:pPr>
      <w:ind w:firstLine="0"/>
      <w:jc w:val="left"/>
      <w:suppressLineNumbers/>
    </w:pPr>
    <w:rPr>
      <w:sz w:val="26"/>
      <w:szCs w:val="20"/>
      <w:lang w:eastAsia="ar-SA"/>
    </w:rPr>
  </w:style>
  <w:style w:type="paragraph" w:styleId="1032" w:customStyle="1">
    <w:name w:val="Заголовок таблицы"/>
    <w:basedOn w:val="1031"/>
    <w:pPr>
      <w:jc w:val="center"/>
    </w:pPr>
    <w:rPr>
      <w:b/>
      <w:bCs/>
    </w:rPr>
  </w:style>
  <w:style w:type="paragraph" w:styleId="1033" w:customStyle="1">
    <w:name w:val="ConsNormal"/>
    <w:pPr>
      <w:ind w:right="19772" w:firstLine="720"/>
      <w:widowControl w:val="off"/>
    </w:pPr>
    <w:rPr>
      <w:rFonts w:ascii="Arial" w:hAnsi="Arial" w:eastAsia="Arial" w:cs="Arial"/>
      <w:lang w:bidi="ru-RU"/>
    </w:rPr>
  </w:style>
  <w:style w:type="paragraph" w:styleId="1034" w:customStyle="1">
    <w:name w:val="ConsNonformat"/>
    <w:pPr>
      <w:ind w:right="19772"/>
      <w:widowControl w:val="off"/>
    </w:pPr>
    <w:rPr>
      <w:rFonts w:ascii="Courier New" w:hAnsi="Courier New" w:eastAsia="Times New Roman" w:cs="Courier New"/>
      <w:sz w:val="22"/>
      <w:szCs w:val="22"/>
    </w:rPr>
  </w:style>
  <w:style w:type="paragraph" w:styleId="1035" w:customStyle="1">
    <w:name w:val="ConsPlusTitle"/>
    <w:pPr>
      <w:widowControl w:val="off"/>
    </w:pPr>
    <w:rPr>
      <w:rFonts w:ascii="Arial" w:hAnsi="Arial" w:eastAsia="Times New Roman" w:cs="Arial"/>
      <w:b/>
      <w:bCs/>
    </w:rPr>
  </w:style>
  <w:style w:type="paragraph" w:styleId="1036">
    <w:name w:val="Body Text 2"/>
    <w:basedOn w:val="984"/>
    <w:link w:val="1037"/>
    <w:uiPriority w:val="99"/>
    <w:unhideWhenUsed/>
    <w:pPr>
      <w:ind w:firstLine="0"/>
      <w:jc w:val="left"/>
      <w:spacing w:after="120" w:line="480" w:lineRule="auto"/>
    </w:pPr>
    <w:rPr>
      <w:sz w:val="26"/>
      <w:szCs w:val="20"/>
      <w:lang w:eastAsia="ar-SA"/>
    </w:rPr>
  </w:style>
  <w:style w:type="character" w:styleId="1037" w:customStyle="1">
    <w:name w:val="Основной текст 2 Знак"/>
    <w:basedOn w:val="990"/>
    <w:link w:val="1036"/>
    <w:uiPriority w:val="99"/>
    <w:rPr>
      <w:rFonts w:ascii="Times New Roman" w:hAnsi="Times New Roman" w:eastAsia="Times New Roman"/>
      <w:sz w:val="26"/>
      <w:lang w:eastAsia="ar-SA"/>
    </w:rPr>
  </w:style>
  <w:style w:type="character" w:styleId="1038">
    <w:name w:val="Hyperlink"/>
    <w:basedOn w:val="990"/>
    <w:uiPriority w:val="99"/>
    <w:rPr>
      <w:rFonts w:cs="Times New Roman"/>
      <w:color w:val="0000ff"/>
      <w:u w:val="single"/>
    </w:rPr>
  </w:style>
  <w:style w:type="paragraph" w:styleId="1039">
    <w:name w:val="Body Text Indent 3"/>
    <w:basedOn w:val="984"/>
    <w:link w:val="1040"/>
    <w:uiPriority w:val="99"/>
    <w:pPr>
      <w:ind w:left="283" w:firstLine="0"/>
      <w:jc w:val="left"/>
      <w:spacing w:after="120"/>
    </w:pPr>
    <w:rPr>
      <w:sz w:val="16"/>
      <w:szCs w:val="16"/>
    </w:rPr>
  </w:style>
  <w:style w:type="character" w:styleId="1040" w:customStyle="1">
    <w:name w:val="Основной текст с отступом 3 Знак"/>
    <w:basedOn w:val="990"/>
    <w:link w:val="1039"/>
    <w:uiPriority w:val="99"/>
    <w:rPr>
      <w:rFonts w:ascii="Times New Roman" w:hAnsi="Times New Roman" w:eastAsia="Times New Roman"/>
      <w:sz w:val="16"/>
      <w:szCs w:val="16"/>
    </w:rPr>
  </w:style>
  <w:style w:type="paragraph" w:styleId="1041" w:customStyle="1">
    <w:name w:val="Обычный (Web)"/>
    <w:basedOn w:val="984"/>
    <w:pPr>
      <w:ind w:firstLine="0"/>
      <w:jc w:val="left"/>
      <w:widowControl w:val="off"/>
    </w:pPr>
    <w:rPr>
      <w:lang w:eastAsia="ar-SA"/>
    </w:rPr>
  </w:style>
  <w:style w:type="character" w:styleId="1042" w:customStyle="1">
    <w:name w:val="rvts7"/>
    <w:basedOn w:val="990"/>
  </w:style>
  <w:style w:type="paragraph" w:styleId="1043" w:customStyle="1">
    <w:name w:val="rvps3"/>
    <w:basedOn w:val="984"/>
    <w:pPr>
      <w:ind w:firstLine="0"/>
      <w:jc w:val="left"/>
      <w:spacing w:before="100" w:beforeAutospacing="1" w:after="100" w:afterAutospacing="1"/>
    </w:pPr>
    <w:rPr>
      <w:color w:val="000000"/>
    </w:rPr>
  </w:style>
  <w:style w:type="paragraph" w:styleId="1044" w:customStyle="1">
    <w:name w:val="Style2"/>
    <w:basedOn w:val="984"/>
    <w:pPr>
      <w:ind w:firstLine="0"/>
      <w:jc w:val="left"/>
    </w:pPr>
    <w:rPr>
      <w:sz w:val="26"/>
      <w:szCs w:val="20"/>
      <w:lang w:eastAsia="ar-SA"/>
    </w:rPr>
  </w:style>
  <w:style w:type="character" w:styleId="1045" w:customStyle="1">
    <w:name w:val="rvts6"/>
    <w:basedOn w:val="990"/>
  </w:style>
  <w:style w:type="paragraph" w:styleId="1046" w:customStyle="1">
    <w:name w:val="Брошюра Обычный"/>
    <w:pPr>
      <w:ind w:firstLine="540"/>
      <w:jc w:val="both"/>
    </w:pPr>
    <w:rPr>
      <w:rFonts w:ascii="Times New Roman" w:hAnsi="Times New Roman" w:eastAsia="Arial" w:cs="Arial"/>
      <w:bCs/>
      <w:iCs/>
      <w:sz w:val="28"/>
      <w:szCs w:val="28"/>
      <w:lang w:eastAsia="ar-SA"/>
    </w:rPr>
  </w:style>
  <w:style w:type="paragraph" w:styleId="1047" w:customStyle="1">
    <w:name w:val="Style7"/>
    <w:basedOn w:val="984"/>
    <w:uiPriority w:val="99"/>
    <w:pPr>
      <w:ind w:firstLine="3091"/>
      <w:jc w:val="left"/>
      <w:spacing w:line="322" w:lineRule="exact"/>
      <w:widowControl w:val="off"/>
    </w:pPr>
    <w:rPr>
      <w:rFonts w:eastAsiaTheme="minorEastAsia"/>
    </w:rPr>
  </w:style>
  <w:style w:type="paragraph" w:styleId="1048" w:customStyle="1">
    <w:name w:val="Style9"/>
    <w:basedOn w:val="984"/>
    <w:uiPriority w:val="99"/>
    <w:pPr>
      <w:ind w:firstLine="672"/>
      <w:spacing w:line="323" w:lineRule="exact"/>
      <w:widowControl w:val="off"/>
    </w:pPr>
    <w:rPr>
      <w:rFonts w:eastAsiaTheme="minorEastAsia"/>
    </w:rPr>
  </w:style>
  <w:style w:type="paragraph" w:styleId="1049" w:customStyle="1">
    <w:name w:val="Style10"/>
    <w:basedOn w:val="984"/>
    <w:uiPriority w:val="99"/>
    <w:pPr>
      <w:ind w:firstLine="710"/>
      <w:spacing w:line="322" w:lineRule="exact"/>
      <w:widowControl w:val="off"/>
    </w:pPr>
    <w:rPr>
      <w:rFonts w:eastAsiaTheme="minorEastAsia"/>
    </w:rPr>
  </w:style>
  <w:style w:type="character" w:styleId="1050" w:customStyle="1">
    <w:name w:val="Font Style18"/>
    <w:basedOn w:val="99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1051" w:customStyle="1">
    <w:name w:val="Font Style19"/>
    <w:basedOn w:val="990"/>
    <w:uiPriority w:val="99"/>
    <w:rPr>
      <w:rFonts w:ascii="Times New Roman" w:hAnsi="Times New Roman" w:cs="Times New Roman"/>
      <w:sz w:val="26"/>
      <w:szCs w:val="26"/>
    </w:rPr>
  </w:style>
  <w:style w:type="table" w:styleId="1052" w:customStyle="1">
    <w:name w:val="Table Normal"/>
    <w:uiPriority w:val="2"/>
    <w:semiHidden/>
    <w:unhideWhenUsed/>
    <w:qFormat/>
    <w:pPr>
      <w:widowControl w:val="off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053" w:customStyle="1">
    <w:name w:val="Heading 1"/>
    <w:basedOn w:val="984"/>
    <w:uiPriority w:val="1"/>
    <w:qFormat/>
    <w:pPr>
      <w:ind w:left="2276" w:firstLine="0"/>
      <w:jc w:val="left"/>
      <w:widowControl w:val="off"/>
      <w:outlineLvl w:val="1"/>
    </w:pPr>
    <w:rPr>
      <w:b/>
      <w:bCs/>
      <w:sz w:val="28"/>
      <w:szCs w:val="28"/>
      <w:lang w:eastAsia="en-US"/>
    </w:rPr>
  </w:style>
  <w:style w:type="paragraph" w:styleId="1054">
    <w:name w:val="Title"/>
    <w:basedOn w:val="984"/>
    <w:link w:val="1055"/>
    <w:uiPriority w:val="1"/>
    <w:qFormat/>
    <w:pPr>
      <w:ind w:left="2276" w:right="2319" w:firstLine="0"/>
      <w:jc w:val="center"/>
      <w:spacing w:before="87"/>
      <w:widowControl w:val="off"/>
    </w:pPr>
    <w:rPr>
      <w:b/>
      <w:bCs/>
      <w:sz w:val="34"/>
      <w:szCs w:val="34"/>
      <w:lang w:eastAsia="en-US"/>
    </w:rPr>
  </w:style>
  <w:style w:type="character" w:styleId="1055" w:customStyle="1">
    <w:name w:val="Название Знак"/>
    <w:basedOn w:val="990"/>
    <w:link w:val="1054"/>
    <w:uiPriority w:val="1"/>
    <w:rPr>
      <w:rFonts w:ascii="Times New Roman" w:hAnsi="Times New Roman" w:eastAsia="Times New Roman"/>
      <w:b/>
      <w:bCs/>
      <w:sz w:val="34"/>
      <w:szCs w:val="34"/>
      <w:lang w:eastAsia="en-US"/>
    </w:rPr>
  </w:style>
  <w:style w:type="paragraph" w:styleId="1056" w:customStyle="1">
    <w:name w:val="Table Paragraph"/>
    <w:basedOn w:val="984"/>
    <w:uiPriority w:val="1"/>
    <w:qFormat/>
    <w:pPr>
      <w:ind w:firstLine="0"/>
      <w:jc w:val="left"/>
      <w:widowControl w:val="off"/>
    </w:pPr>
    <w:rPr>
      <w:sz w:val="22"/>
      <w:szCs w:val="22"/>
      <w:lang w:eastAsia="en-US"/>
    </w:rPr>
  </w:style>
  <w:style w:type="character" w:styleId="1057">
    <w:name w:val="line number"/>
    <w:basedOn w:val="990"/>
    <w:uiPriority w:val="99"/>
    <w:semiHidden/>
    <w:unhideWhenUsed/>
  </w:style>
  <w:style w:type="paragraph" w:styleId="1058" w:customStyle="1">
    <w:name w:val="s_1"/>
    <w:basedOn w:val="984"/>
    <w:pPr>
      <w:ind w:firstLine="0"/>
      <w:jc w:val="left"/>
      <w:spacing w:before="100" w:beforeAutospacing="1" w:after="100" w:afterAutospacing="1"/>
    </w:pPr>
  </w:style>
  <w:style w:type="paragraph" w:styleId="1059">
    <w:name w:val="Normal (Web)"/>
    <w:basedOn w:val="984"/>
    <w:uiPriority w:val="99"/>
    <w:unhideWhenUsed/>
    <w:pPr>
      <w:ind w:firstLine="0"/>
      <w:jc w:val="left"/>
      <w:spacing w:before="100" w:beforeAutospacing="1" w:after="100" w:afterAutospacing="1"/>
    </w:pPr>
  </w:style>
  <w:style w:type="paragraph" w:styleId="1060" w:customStyle="1">
    <w:name w:val="Основной текст1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59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0E409-F34F-4C3A-9BB0-997F5A61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user-02</dc:creator>
  <cp:lastModifiedBy>kalita</cp:lastModifiedBy>
  <cp:revision>22</cp:revision>
  <dcterms:created xsi:type="dcterms:W3CDTF">2022-04-26T11:44:00Z</dcterms:created>
  <dcterms:modified xsi:type="dcterms:W3CDTF">2026-02-12T07:32:30Z</dcterms:modified>
</cp:coreProperties>
</file>